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F287" w14:textId="4D38ED04" w:rsidR="00D22623" w:rsidRPr="000371D7" w:rsidRDefault="00D22623" w:rsidP="00D22623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13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0371D7">
        <w:rPr>
          <w:rFonts w:ascii="Times New Roman" w:hAnsi="Times New Roman" w:cs="Times New Roman"/>
          <w:kern w:val="0"/>
          <w:sz w:val="20"/>
          <w:szCs w:val="20"/>
        </w:rPr>
        <w:t>IPP are</w:t>
      </w:r>
      <w:r w:rsidRPr="000371D7"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 w:rsidRPr="000371D7">
        <w:rPr>
          <w:rFonts w:ascii="Times New Roman" w:hAnsi="Times New Roman" w:cs="Times New Roman"/>
          <w:kern w:val="0"/>
          <w:sz w:val="20"/>
          <w:szCs w:val="20"/>
        </w:rPr>
        <w:t>to perform</w:t>
      </w:r>
      <w:r w:rsidRPr="000371D7"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 w:rsidRPr="000371D7">
        <w:rPr>
          <w:rFonts w:ascii="Times New Roman" w:hAnsi="Times New Roman" w:cs="Times New Roman"/>
          <w:kern w:val="0"/>
          <w:sz w:val="20"/>
          <w:szCs w:val="20"/>
        </w:rPr>
        <w:t xml:space="preserve">the routine </w:t>
      </w:r>
      <w:r w:rsidRPr="000371D7">
        <w:rPr>
          <w:rFonts w:ascii="Times New Roman" w:hAnsi="Times New Roman" w:cs="Times New Roman"/>
          <w:b/>
          <w:bCs/>
          <w:kern w:val="0"/>
          <w:sz w:val="20"/>
          <w:szCs w:val="20"/>
        </w:rPr>
        <w:t>Update</w:t>
      </w:r>
      <w:r w:rsidRPr="000371D7">
        <w:rPr>
          <w:rFonts w:ascii="Times New Roman" w:hAnsi="Times New Roman" w:cs="Times New Roman"/>
          <w:b/>
          <w:bCs/>
          <w:spacing w:val="-1"/>
          <w:kern w:val="0"/>
          <w:sz w:val="20"/>
          <w:szCs w:val="20"/>
        </w:rPr>
        <w:t xml:space="preserve"> </w:t>
      </w:r>
      <w:r w:rsidRPr="000371D7">
        <w:rPr>
          <w:rFonts w:ascii="Times New Roman" w:hAnsi="Times New Roman" w:cs="Times New Roman"/>
          <w:b/>
          <w:bCs/>
          <w:kern w:val="0"/>
          <w:sz w:val="20"/>
          <w:szCs w:val="20"/>
        </w:rPr>
        <w:t>Establishment Profile (UEP)</w:t>
      </w:r>
      <w:r w:rsidRPr="000371D7">
        <w:rPr>
          <w:rFonts w:ascii="Times New Roman" w:hAnsi="Times New Roman" w:cs="Times New Roman"/>
          <w:b/>
          <w:bCs/>
          <w:spacing w:val="-1"/>
          <w:kern w:val="0"/>
          <w:sz w:val="20"/>
          <w:szCs w:val="20"/>
        </w:rPr>
        <w:t xml:space="preserve"> </w:t>
      </w:r>
      <w:r w:rsidRPr="000371D7">
        <w:rPr>
          <w:rFonts w:ascii="Times New Roman" w:hAnsi="Times New Roman" w:cs="Times New Roman"/>
          <w:kern w:val="0"/>
          <w:sz w:val="20"/>
          <w:szCs w:val="20"/>
        </w:rPr>
        <w:t xml:space="preserve">inspection task </w:t>
      </w:r>
      <w:r w:rsidRPr="000371D7">
        <w:rPr>
          <w:rFonts w:ascii="Times New Roman" w:hAnsi="Times New Roman" w:cs="Times New Roman"/>
          <w:i/>
          <w:iCs/>
          <w:kern w:val="0"/>
          <w:sz w:val="20"/>
          <w:szCs w:val="20"/>
          <w:u w:val="single"/>
        </w:rPr>
        <w:t>monthly</w:t>
      </w:r>
      <w:r w:rsidRPr="000371D7">
        <w:rPr>
          <w:rFonts w:ascii="Times New Roman" w:hAnsi="Times New Roman" w:cs="Times New Roman"/>
          <w:kern w:val="0"/>
          <w:sz w:val="20"/>
          <w:szCs w:val="20"/>
        </w:rPr>
        <w:t xml:space="preserve"> by</w:t>
      </w:r>
      <w:r w:rsidR="00275870" w:rsidRPr="000371D7">
        <w:rPr>
          <w:rFonts w:ascii="Times New Roman" w:hAnsi="Times New Roman" w:cs="Times New Roman"/>
          <w:kern w:val="0"/>
          <w:sz w:val="20"/>
          <w:szCs w:val="20"/>
        </w:rPr>
        <w:t xml:space="preserve"> navigating to the Establishment Profile in PHIS and</w:t>
      </w:r>
      <w:r w:rsidRPr="000371D7">
        <w:rPr>
          <w:rFonts w:ascii="Times New Roman" w:hAnsi="Times New Roman" w:cs="Times New Roman"/>
          <w:kern w:val="0"/>
          <w:sz w:val="20"/>
          <w:szCs w:val="20"/>
        </w:rPr>
        <w:t>:</w:t>
      </w:r>
    </w:p>
    <w:p w14:paraId="71B50168" w14:textId="77777777" w:rsidR="00D22623" w:rsidRPr="00A53F32" w:rsidRDefault="00D22623" w:rsidP="00D22623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13"/>
        <w:rPr>
          <w:rFonts w:ascii="Times New Roman" w:hAnsi="Times New Roman" w:cs="Times New Roman"/>
          <w:kern w:val="0"/>
          <w:sz w:val="20"/>
          <w:szCs w:val="20"/>
        </w:rPr>
      </w:pPr>
    </w:p>
    <w:p w14:paraId="119BABE7" w14:textId="76F16624" w:rsidR="00D22623" w:rsidRPr="00A53F32" w:rsidRDefault="00D22623" w:rsidP="00D22623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413"/>
        <w:rPr>
          <w:rFonts w:ascii="Times New Roman" w:hAnsi="Times New Roman" w:cs="Times New Roman"/>
          <w:kern w:val="0"/>
          <w:sz w:val="20"/>
          <w:szCs w:val="20"/>
        </w:rPr>
      </w:pPr>
      <w:r w:rsidRPr="00A53F32">
        <w:rPr>
          <w:rFonts w:ascii="Times New Roman" w:hAnsi="Times New Roman" w:cs="Times New Roman"/>
          <w:kern w:val="0"/>
          <w:sz w:val="20"/>
          <w:szCs w:val="20"/>
        </w:rPr>
        <w:t xml:space="preserve">Updating </w:t>
      </w:r>
      <w:r w:rsidR="009B6CC2">
        <w:rPr>
          <w:rFonts w:ascii="Times New Roman" w:hAnsi="Times New Roman" w:cs="Times New Roman"/>
          <w:kern w:val="0"/>
          <w:sz w:val="20"/>
          <w:szCs w:val="20"/>
        </w:rPr>
        <w:t>the profile</w:t>
      </w:r>
      <w:r w:rsidRPr="00A53F32">
        <w:rPr>
          <w:rFonts w:ascii="Times New Roman" w:hAnsi="Times New Roman" w:cs="Times New Roman"/>
          <w:kern w:val="0"/>
          <w:sz w:val="20"/>
          <w:szCs w:val="20"/>
        </w:rPr>
        <w:t xml:space="preserve"> with any</w:t>
      </w:r>
      <w:r w:rsidRPr="00A53F32"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 w:rsidRPr="00A53F32">
        <w:rPr>
          <w:rFonts w:ascii="Times New Roman" w:hAnsi="Times New Roman" w:cs="Times New Roman"/>
          <w:kern w:val="0"/>
          <w:sz w:val="20"/>
          <w:szCs w:val="20"/>
        </w:rPr>
        <w:t>new</w:t>
      </w:r>
      <w:r w:rsidRPr="00A53F32"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 w:rsidRPr="00A53F32">
        <w:rPr>
          <w:rFonts w:ascii="Times New Roman" w:hAnsi="Times New Roman" w:cs="Times New Roman"/>
          <w:kern w:val="0"/>
          <w:sz w:val="20"/>
          <w:szCs w:val="20"/>
        </w:rPr>
        <w:t>information for which you have become aware of since the performance of the last UEP task</w:t>
      </w:r>
      <w:r w:rsidR="003A55B8" w:rsidRPr="00A53F32">
        <w:rPr>
          <w:rFonts w:ascii="Times New Roman" w:hAnsi="Times New Roman" w:cs="Times New Roman"/>
          <w:kern w:val="0"/>
          <w:sz w:val="20"/>
          <w:szCs w:val="20"/>
        </w:rPr>
        <w:t>,</w:t>
      </w:r>
    </w:p>
    <w:p w14:paraId="2097A773" w14:textId="373771B6" w:rsidR="00D22623" w:rsidRPr="00A53F32" w:rsidRDefault="00D22623" w:rsidP="00D22623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413"/>
        <w:rPr>
          <w:rFonts w:ascii="Times New Roman" w:hAnsi="Times New Roman" w:cs="Times New Roman"/>
          <w:kern w:val="0"/>
          <w:sz w:val="20"/>
          <w:szCs w:val="20"/>
        </w:rPr>
      </w:pPr>
      <w:r w:rsidRPr="00A53F32">
        <w:rPr>
          <w:rFonts w:ascii="Times New Roman" w:hAnsi="Times New Roman" w:cs="Times New Roman"/>
          <w:spacing w:val="-1"/>
          <w:kern w:val="0"/>
          <w:sz w:val="20"/>
          <w:szCs w:val="20"/>
        </w:rPr>
        <w:t>R</w:t>
      </w:r>
      <w:r w:rsidRPr="00A53F32">
        <w:rPr>
          <w:rFonts w:ascii="Times New Roman" w:hAnsi="Times New Roman" w:cs="Times New Roman"/>
          <w:kern w:val="0"/>
          <w:sz w:val="20"/>
          <w:szCs w:val="20"/>
        </w:rPr>
        <w:t xml:space="preserve">eviewing the </w:t>
      </w:r>
      <w:r w:rsidR="003A55B8" w:rsidRPr="00A53F32">
        <w:rPr>
          <w:rFonts w:ascii="Times New Roman" w:hAnsi="Times New Roman" w:cs="Times New Roman"/>
          <w:kern w:val="0"/>
          <w:sz w:val="20"/>
          <w:szCs w:val="20"/>
        </w:rPr>
        <w:t>Tasks pag</w:t>
      </w:r>
      <w:r w:rsidR="009B6CC2">
        <w:rPr>
          <w:rFonts w:ascii="Times New Roman" w:hAnsi="Times New Roman" w:cs="Times New Roman"/>
          <w:kern w:val="0"/>
          <w:sz w:val="20"/>
          <w:szCs w:val="20"/>
        </w:rPr>
        <w:t>e</w:t>
      </w:r>
      <w:r w:rsidRPr="00A53F32">
        <w:rPr>
          <w:rFonts w:ascii="Times New Roman" w:hAnsi="Times New Roman" w:cs="Times New Roman"/>
          <w:kern w:val="0"/>
          <w:sz w:val="20"/>
          <w:szCs w:val="20"/>
        </w:rPr>
        <w:t xml:space="preserve"> to ensure all relevant tasks are</w:t>
      </w:r>
      <w:r w:rsidR="002A16CB">
        <w:rPr>
          <w:rFonts w:ascii="Times New Roman" w:hAnsi="Times New Roman" w:cs="Times New Roman"/>
          <w:kern w:val="0"/>
          <w:sz w:val="20"/>
          <w:szCs w:val="20"/>
        </w:rPr>
        <w:t xml:space="preserve"> “Included” if relevant</w:t>
      </w:r>
      <w:r w:rsidRPr="00A53F32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2A16CB">
        <w:rPr>
          <w:rFonts w:ascii="Times New Roman" w:hAnsi="Times New Roman" w:cs="Times New Roman"/>
          <w:kern w:val="0"/>
          <w:sz w:val="20"/>
          <w:szCs w:val="20"/>
        </w:rPr>
        <w:t>and therefore available to schedule from the task list, and those “Excluded” to ensure none of the tasks marked as excluded are relevant and need to be “Included” instead.</w:t>
      </w:r>
    </w:p>
    <w:p w14:paraId="0FE3FDB9" w14:textId="01860766" w:rsidR="00D22623" w:rsidRPr="00A53F32" w:rsidRDefault="00D22623" w:rsidP="00D22623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right="413"/>
        <w:rPr>
          <w:rFonts w:ascii="Times New Roman" w:hAnsi="Times New Roman" w:cs="Times New Roman"/>
          <w:kern w:val="0"/>
          <w:sz w:val="20"/>
          <w:szCs w:val="20"/>
        </w:rPr>
      </w:pPr>
      <w:r w:rsidRPr="00D22623">
        <w:rPr>
          <w:rFonts w:ascii="Times New Roman" w:hAnsi="Times New Roman" w:cs="Times New Roman"/>
          <w:kern w:val="0"/>
          <w:sz w:val="20"/>
          <w:szCs w:val="20"/>
        </w:rPr>
        <w:t xml:space="preserve">Checking the Questionnaires </w:t>
      </w:r>
      <w:r w:rsidR="003A55B8" w:rsidRPr="00A53F32">
        <w:rPr>
          <w:rFonts w:ascii="Times New Roman" w:hAnsi="Times New Roman" w:cs="Times New Roman"/>
          <w:kern w:val="0"/>
          <w:sz w:val="20"/>
          <w:szCs w:val="20"/>
        </w:rPr>
        <w:t>page</w:t>
      </w:r>
      <w:r w:rsidRPr="00D22623">
        <w:rPr>
          <w:rFonts w:ascii="Times New Roman" w:hAnsi="Times New Roman" w:cs="Times New Roman"/>
          <w:kern w:val="0"/>
          <w:sz w:val="20"/>
          <w:szCs w:val="20"/>
        </w:rPr>
        <w:t xml:space="preserve"> to ensure there are no questionnaires </w:t>
      </w:r>
      <w:proofErr w:type="gramStart"/>
      <w:r w:rsidRPr="00D22623">
        <w:rPr>
          <w:rFonts w:ascii="Times New Roman" w:hAnsi="Times New Roman" w:cs="Times New Roman"/>
          <w:kern w:val="0"/>
          <w:sz w:val="20"/>
          <w:szCs w:val="20"/>
        </w:rPr>
        <w:t>needing</w:t>
      </w:r>
      <w:proofErr w:type="gramEnd"/>
      <w:r w:rsidRPr="00D22623">
        <w:rPr>
          <w:rFonts w:ascii="Times New Roman" w:hAnsi="Times New Roman" w:cs="Times New Roman"/>
          <w:kern w:val="0"/>
          <w:sz w:val="20"/>
          <w:szCs w:val="20"/>
        </w:rPr>
        <w:t xml:space="preserve"> completed for your assign</w:t>
      </w:r>
      <w:r w:rsidRPr="00A53F32">
        <w:rPr>
          <w:rFonts w:ascii="Times New Roman" w:hAnsi="Times New Roman" w:cs="Times New Roman"/>
          <w:kern w:val="0"/>
          <w:sz w:val="20"/>
          <w:szCs w:val="20"/>
        </w:rPr>
        <w:t>ed establishments</w:t>
      </w:r>
      <w:r w:rsidR="003A55B8" w:rsidRPr="00A53F32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3A55B8" w:rsidRPr="00A53F32">
        <w:rPr>
          <w:rFonts w:ascii="Times New Roman" w:hAnsi="Times New Roman" w:cs="Times New Roman"/>
          <w:b/>
          <w:bCs/>
          <w:i/>
          <w:iCs/>
          <w:kern w:val="0"/>
          <w:sz w:val="20"/>
          <w:szCs w:val="20"/>
          <w:u w:val="single"/>
        </w:rPr>
        <w:t>and</w:t>
      </w:r>
    </w:p>
    <w:p w14:paraId="76FBE044" w14:textId="77E79E47" w:rsidR="00D22623" w:rsidRPr="00A53F32" w:rsidRDefault="00D22623" w:rsidP="00D22623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413"/>
        <w:rPr>
          <w:rFonts w:ascii="Times New Roman" w:hAnsi="Times New Roman" w:cs="Times New Roman"/>
          <w:kern w:val="0"/>
          <w:sz w:val="20"/>
          <w:szCs w:val="20"/>
        </w:rPr>
      </w:pPr>
      <w:r w:rsidRPr="00A53F32">
        <w:rPr>
          <w:rFonts w:ascii="Times New Roman" w:hAnsi="Times New Roman" w:cs="Times New Roman"/>
          <w:kern w:val="0"/>
          <w:sz w:val="20"/>
          <w:szCs w:val="20"/>
        </w:rPr>
        <w:t>Verifying the accuracy of a specific area of the profile each</w:t>
      </w:r>
      <w:r w:rsidRPr="00A53F32">
        <w:rPr>
          <w:rFonts w:ascii="Times New Roman" w:hAnsi="Times New Roman" w:cs="Times New Roman"/>
          <w:spacing w:val="-4"/>
          <w:kern w:val="0"/>
          <w:sz w:val="20"/>
          <w:szCs w:val="20"/>
        </w:rPr>
        <w:t xml:space="preserve"> </w:t>
      </w:r>
      <w:r w:rsidRPr="00A53F32">
        <w:rPr>
          <w:rFonts w:ascii="Times New Roman" w:hAnsi="Times New Roman" w:cs="Times New Roman"/>
          <w:kern w:val="0"/>
          <w:sz w:val="20"/>
          <w:szCs w:val="20"/>
        </w:rPr>
        <w:t>month according to</w:t>
      </w:r>
      <w:r w:rsidRPr="00A53F32"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 w:rsidRPr="00A53F32">
        <w:rPr>
          <w:rFonts w:ascii="Times New Roman" w:hAnsi="Times New Roman" w:cs="Times New Roman"/>
          <w:kern w:val="0"/>
          <w:sz w:val="20"/>
          <w:szCs w:val="20"/>
        </w:rPr>
        <w:t>the</w:t>
      </w:r>
      <w:r w:rsidRPr="00A53F32"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 w:rsidR="00730DD7">
        <w:rPr>
          <w:rFonts w:ascii="Times New Roman" w:hAnsi="Times New Roman" w:cs="Times New Roman"/>
          <w:kern w:val="0"/>
          <w:sz w:val="20"/>
          <w:szCs w:val="20"/>
        </w:rPr>
        <w:t xml:space="preserve">table below. </w:t>
      </w:r>
    </w:p>
    <w:p w14:paraId="37D78345" w14:textId="77777777" w:rsidR="00D22623" w:rsidRPr="00D22623" w:rsidRDefault="00D22623" w:rsidP="00D2262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9468" w:type="dxa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8190"/>
      </w:tblGrid>
      <w:tr w:rsidR="00D22623" w:rsidRPr="00D22623" w14:paraId="131C32CE" w14:textId="77777777" w:rsidTr="00D22623">
        <w:trPr>
          <w:trHeight w:val="441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BD90" w14:textId="3A1D0B27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Table: Establishment Profile Update Schedule</w:t>
            </w:r>
            <w:r w:rsidR="00A53F32" w:rsidRPr="002A16CB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(from </w:t>
            </w:r>
            <w:hyperlink r:id="rId7" w:history="1">
              <w:r w:rsidR="00A53F32" w:rsidRPr="002A16CB">
                <w:rPr>
                  <w:rStyle w:val="Hyperlink"/>
                  <w:rFonts w:ascii="Times New Roman" w:hAnsi="Times New Roman" w:cs="Times New Roman"/>
                  <w:b/>
                  <w:bCs/>
                  <w:kern w:val="0"/>
                  <w:sz w:val="22"/>
                  <w:szCs w:val="22"/>
                </w:rPr>
                <w:t>FSIS Dir. 5300.1</w:t>
              </w:r>
            </w:hyperlink>
            <w:r w:rsidR="00A53F32" w:rsidRPr="002A16CB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)</w:t>
            </w:r>
          </w:p>
        </w:tc>
      </w:tr>
      <w:tr w:rsidR="00D22623" w:rsidRPr="00D22623" w14:paraId="51F4C22F" w14:textId="77777777" w:rsidTr="002A16CB">
        <w:trPr>
          <w:trHeight w:val="27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BD5B51F" w14:textId="77777777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99" w:after="0" w:line="240" w:lineRule="auto"/>
              <w:ind w:left="107"/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  <w:u w:val="single"/>
              </w:rPr>
              <w:t>Month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10922727" w14:textId="77777777" w:rsidR="00D22623" w:rsidRPr="00D22623" w:rsidRDefault="00D22623" w:rsidP="002A16CB">
            <w:pPr>
              <w:kinsoku w:val="0"/>
              <w:overflowPunct w:val="0"/>
              <w:autoSpaceDE w:val="0"/>
              <w:autoSpaceDN w:val="0"/>
              <w:adjustRightInd w:val="0"/>
              <w:spacing w:before="199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>Profile Information Focus Area</w:t>
            </w:r>
          </w:p>
        </w:tc>
      </w:tr>
      <w:tr w:rsidR="00D22623" w:rsidRPr="00D22623" w14:paraId="608CF40C" w14:textId="77777777" w:rsidTr="00D22623">
        <w:trPr>
          <w:trHeight w:val="49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55B3" w14:textId="77777777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22" w:after="0" w:line="240" w:lineRule="auto"/>
              <w:ind w:left="107"/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  <w:t>January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7897" w14:textId="0D10FCD1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240" w:lineRule="auto"/>
              <w:ind w:left="107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Establishment Contacts</w:t>
            </w:r>
            <w:r w:rsidR="003A55B8" w:rsidRPr="00A53F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3A55B8" w:rsidRPr="00A53F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(located under the Facility tab in the Establishment Profile)</w:t>
            </w:r>
          </w:p>
        </w:tc>
      </w:tr>
      <w:tr w:rsidR="00D22623" w:rsidRPr="00D22623" w14:paraId="6B538625" w14:textId="77777777" w:rsidTr="00D22623">
        <w:trPr>
          <w:trHeight w:val="49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5D3C" w14:textId="77777777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22" w:after="0" w:line="240" w:lineRule="auto"/>
              <w:ind w:left="107"/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  <w:t>February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775B" w14:textId="09DCF52F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18" w:after="0" w:line="240" w:lineRule="auto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HACCP Systems Information</w:t>
            </w:r>
            <w:r w:rsidR="003A55B8" w:rsidRPr="00A53F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</w:rPr>
              <w:t>1</w:t>
            </w: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for Raw-Intact product categories</w:t>
            </w:r>
          </w:p>
        </w:tc>
      </w:tr>
      <w:tr w:rsidR="00D22623" w:rsidRPr="00D22623" w14:paraId="23233C46" w14:textId="77777777" w:rsidTr="00D22623">
        <w:trPr>
          <w:trHeight w:val="50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1A18" w14:textId="77777777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22" w:after="0" w:line="240" w:lineRule="auto"/>
              <w:ind w:left="107"/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  <w:t>March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1736" w14:textId="7CB6D533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18" w:after="0" w:line="240" w:lineRule="auto"/>
              <w:ind w:left="10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HACCP Systems Information</w:t>
            </w:r>
            <w:r w:rsidR="003A55B8" w:rsidRPr="00A53F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</w:rPr>
              <w:t>1</w:t>
            </w: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for Raw-Non-Intact product categories</w:t>
            </w:r>
          </w:p>
        </w:tc>
      </w:tr>
      <w:tr w:rsidR="00D22623" w:rsidRPr="00D22623" w14:paraId="2D531584" w14:textId="77777777" w:rsidTr="00D22623">
        <w:trPr>
          <w:trHeight w:val="506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121D" w14:textId="77777777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22" w:after="0" w:line="240" w:lineRule="auto"/>
              <w:ind w:left="107"/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  <w:t>April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9D5B" w14:textId="0D1E1086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0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HACCP Systems Information</w:t>
            </w:r>
            <w:r w:rsidR="003A55B8" w:rsidRPr="00A53F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</w:rPr>
              <w:t>1</w:t>
            </w: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for Thermally Processed-Commercially Sterile, Not</w:t>
            </w:r>
          </w:p>
          <w:p w14:paraId="51A47616" w14:textId="77777777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10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Heat Treated–Shelf Stable, and Heat Treated–Shelf Stable product categories</w:t>
            </w:r>
          </w:p>
        </w:tc>
      </w:tr>
      <w:tr w:rsidR="00D22623" w:rsidRPr="00D22623" w14:paraId="010BADAE" w14:textId="77777777" w:rsidTr="00D22623">
        <w:trPr>
          <w:trHeight w:val="757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3587" w14:textId="77777777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249" w:after="0" w:line="240" w:lineRule="auto"/>
              <w:ind w:left="107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</w:rPr>
              <w:t>May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6E4F" w14:textId="556C960E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HACCP Systems Information</w:t>
            </w:r>
            <w:r w:rsidR="003A55B8" w:rsidRPr="00A53F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</w:rPr>
              <w:t>1</w:t>
            </w: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for Fully Cooked–Not Shelf Stable, Product with Secondary</w:t>
            </w:r>
            <w:r w:rsidRPr="00D22623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Inhibitors–Not</w:t>
            </w:r>
            <w:r w:rsidRPr="00D22623">
              <w:rPr>
                <w:rFonts w:ascii="Times New Roman" w:hAnsi="Times New Roman" w:cs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Shelf</w:t>
            </w:r>
            <w:r w:rsidRPr="00D22623">
              <w:rPr>
                <w:rFonts w:ascii="Times New Roman" w:hAnsi="Times New Roman" w:cs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Stable,</w:t>
            </w:r>
            <w:r w:rsidRPr="00D22623">
              <w:rPr>
                <w:rFonts w:ascii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and</w:t>
            </w:r>
            <w:r w:rsidRPr="00D22623">
              <w:rPr>
                <w:rFonts w:ascii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Heat</w:t>
            </w:r>
            <w:r w:rsidRPr="00D22623">
              <w:rPr>
                <w:rFonts w:ascii="Times New Roman" w:hAnsi="Times New Roman" w:cs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Treated</w:t>
            </w:r>
            <w:r w:rsidRPr="00D22623">
              <w:rPr>
                <w:rFonts w:ascii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but</w:t>
            </w:r>
            <w:r w:rsidRPr="00D22623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Not</w:t>
            </w:r>
            <w:r w:rsidRPr="00D22623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Fully</w:t>
            </w:r>
            <w:r w:rsidRPr="00D22623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Cooked–Not</w:t>
            </w:r>
          </w:p>
          <w:p w14:paraId="42B3A69D" w14:textId="77777777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after="0" w:line="238" w:lineRule="exact"/>
              <w:ind w:left="10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Shelf Stable product categories</w:t>
            </w:r>
          </w:p>
        </w:tc>
      </w:tr>
      <w:tr w:rsidR="00D22623" w:rsidRPr="00D22623" w14:paraId="69E1AE31" w14:textId="77777777" w:rsidTr="00D22623">
        <w:trPr>
          <w:trHeight w:val="49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9B1E" w14:textId="77777777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7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</w:rPr>
              <w:t>June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9C80" w14:textId="44CAAEB4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21" w:after="0" w:line="240" w:lineRule="auto"/>
              <w:ind w:left="107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</w:rPr>
            </w:pP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General Profile Information</w:t>
            </w:r>
            <w:r w:rsidR="003A55B8" w:rsidRPr="00A53F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</w:rPr>
              <w:t>2</w:t>
            </w:r>
          </w:p>
        </w:tc>
      </w:tr>
      <w:tr w:rsidR="00D22623" w:rsidRPr="00D22623" w14:paraId="65BD08AC" w14:textId="77777777" w:rsidTr="00D22623">
        <w:trPr>
          <w:trHeight w:val="49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89E3" w14:textId="77777777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7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</w:rPr>
              <w:t>July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7527" w14:textId="251616D8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10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Product Information</w:t>
            </w:r>
            <w:r w:rsidR="003A55B8" w:rsidRPr="00A53F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</w:rPr>
              <w:t>3</w:t>
            </w: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for Raw-Intact product categories</w:t>
            </w:r>
          </w:p>
        </w:tc>
      </w:tr>
      <w:tr w:rsidR="00D22623" w:rsidRPr="00D22623" w14:paraId="7DF1C813" w14:textId="77777777" w:rsidTr="00D22623">
        <w:trPr>
          <w:trHeight w:val="49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8E78" w14:textId="77777777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7"/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  <w:t>August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5F39" w14:textId="31896441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10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Product Information</w:t>
            </w:r>
            <w:r w:rsidR="003A55B8" w:rsidRPr="00A53F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</w:rPr>
              <w:t>3</w:t>
            </w: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for Raw-Non-Intact product categories</w:t>
            </w:r>
          </w:p>
        </w:tc>
      </w:tr>
      <w:tr w:rsidR="00D22623" w:rsidRPr="00D22623" w14:paraId="1B2728CD" w14:textId="77777777" w:rsidTr="00D22623">
        <w:trPr>
          <w:trHeight w:val="505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6DD9" w14:textId="77777777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24" w:after="0" w:line="240" w:lineRule="auto"/>
              <w:ind w:left="107"/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  <w:t>September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FBDE" w14:textId="2ED8F0FF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after="0" w:line="247" w:lineRule="exact"/>
              <w:ind w:left="10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Product Information</w:t>
            </w:r>
            <w:r w:rsidR="003A55B8" w:rsidRPr="00A53F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</w:rPr>
              <w:t>3</w:t>
            </w: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for Thermally Processed-Commercially Sterile, Not Heat</w:t>
            </w:r>
          </w:p>
          <w:p w14:paraId="48024BEA" w14:textId="77777777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8" w:lineRule="exact"/>
              <w:ind w:left="10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Treated–Shelf Stable, and Heat Treated–Shelf Stable product categories</w:t>
            </w:r>
          </w:p>
        </w:tc>
      </w:tr>
      <w:tr w:rsidR="00D22623" w:rsidRPr="00D22623" w14:paraId="2FF800D8" w14:textId="77777777" w:rsidTr="00D22623">
        <w:trPr>
          <w:trHeight w:val="76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FD50" w14:textId="77777777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252" w:after="0" w:line="240" w:lineRule="auto"/>
              <w:ind w:left="107"/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  <w:t>October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D2C8" w14:textId="616B9396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after="0" w:line="247" w:lineRule="exact"/>
              <w:ind w:left="10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Product Information</w:t>
            </w:r>
            <w:r w:rsidR="003A55B8" w:rsidRPr="00A53F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</w:rPr>
              <w:t>3</w:t>
            </w: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for Fully Cooked–Not Shelf Stable, Product with Secondary</w:t>
            </w:r>
          </w:p>
          <w:p w14:paraId="725131FF" w14:textId="77777777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Inhibitors–Not</w:t>
            </w:r>
            <w:r w:rsidRPr="00D22623">
              <w:rPr>
                <w:rFonts w:ascii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Shelf</w:t>
            </w:r>
            <w:r w:rsidRPr="00D22623">
              <w:rPr>
                <w:rFonts w:ascii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Stable,</w:t>
            </w:r>
            <w:r w:rsidRPr="00D22623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and</w:t>
            </w:r>
            <w:r w:rsidRPr="00D22623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Heat</w:t>
            </w:r>
            <w:r w:rsidRPr="00D22623">
              <w:rPr>
                <w:rFonts w:ascii="Times New Roman" w:hAnsi="Times New Roman" w:cs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Treated</w:t>
            </w:r>
            <w:r w:rsidRPr="00D22623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but</w:t>
            </w:r>
            <w:r w:rsidRPr="00D22623">
              <w:rPr>
                <w:rFonts w:ascii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Not</w:t>
            </w:r>
            <w:r w:rsidRPr="00D22623">
              <w:rPr>
                <w:rFonts w:ascii="Times New Roman" w:hAnsi="Times New Roman" w:cs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Fully</w:t>
            </w:r>
            <w:r w:rsidRPr="00D22623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Cooked–Not</w:t>
            </w:r>
            <w:r w:rsidRPr="00D22623">
              <w:rPr>
                <w:rFonts w:ascii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Shelf</w:t>
            </w:r>
            <w:r w:rsidRPr="00D22623">
              <w:rPr>
                <w:rFonts w:ascii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22623">
              <w:rPr>
                <w:rFonts w:ascii="Times New Roman" w:hAnsi="Times New Roman" w:cs="Times New Roman"/>
                <w:kern w:val="0"/>
                <w:sz w:val="20"/>
                <w:szCs w:val="20"/>
              </w:rPr>
              <w:t>Stable product categories</w:t>
            </w:r>
          </w:p>
        </w:tc>
      </w:tr>
      <w:tr w:rsidR="00D22623" w:rsidRPr="00D22623" w14:paraId="31942895" w14:textId="77777777" w:rsidTr="00D22623">
        <w:trPr>
          <w:trHeight w:val="49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2606" w14:textId="77777777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7"/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  <w:t>November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9FED" w14:textId="4BCBF8E5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21"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</w:rPr>
            </w:pP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Slaughter Information</w:t>
            </w:r>
            <w:r w:rsidR="003A55B8" w:rsidRPr="00A53F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</w:rPr>
              <w:t>4</w:t>
            </w:r>
          </w:p>
        </w:tc>
      </w:tr>
      <w:tr w:rsidR="00D22623" w:rsidRPr="00D22623" w14:paraId="2C4BBEDD" w14:textId="77777777" w:rsidTr="00D22623">
        <w:trPr>
          <w:trHeight w:val="50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E59BBF" w14:textId="77777777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22" w:after="0" w:line="240" w:lineRule="auto"/>
              <w:ind w:left="107"/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</w:pPr>
            <w:r w:rsidRPr="00D22623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  <w:t>December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4AA07" w14:textId="11F08F4F" w:rsidR="00D22623" w:rsidRPr="00D22623" w:rsidRDefault="00D22623" w:rsidP="00D22623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</w:rPr>
            </w:pPr>
            <w:r w:rsidRPr="00D2262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General Profile Information</w:t>
            </w:r>
            <w:r w:rsidR="003A55B8" w:rsidRPr="00A53F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</w:rPr>
              <w:t>2</w:t>
            </w:r>
          </w:p>
        </w:tc>
      </w:tr>
    </w:tbl>
    <w:p w14:paraId="0BA53DD5" w14:textId="182E832B" w:rsidR="003A55B8" w:rsidRPr="003A55B8" w:rsidRDefault="003A55B8">
      <w:pPr>
        <w:rPr>
          <w:rFonts w:ascii="Times New Roman" w:hAnsi="Times New Roman" w:cs="Times New Roman"/>
          <w:sz w:val="18"/>
          <w:szCs w:val="18"/>
        </w:rPr>
      </w:pPr>
      <w:r w:rsidRPr="003A55B8">
        <w:rPr>
          <w:rFonts w:ascii="Times New Roman" w:hAnsi="Times New Roman" w:cs="Times New Roman"/>
          <w:sz w:val="18"/>
          <w:szCs w:val="18"/>
        </w:rPr>
        <w:t>Footnotes for superscripts located in the chart above</w:t>
      </w:r>
      <w:r w:rsidR="00F82AFE">
        <w:rPr>
          <w:rFonts w:ascii="Times New Roman" w:hAnsi="Times New Roman" w:cs="Times New Roman"/>
          <w:sz w:val="18"/>
          <w:szCs w:val="18"/>
        </w:rPr>
        <w:t>. To ensure accuracy of information</w:t>
      </w:r>
      <w:r w:rsidR="004D6725">
        <w:rPr>
          <w:rFonts w:ascii="Times New Roman" w:hAnsi="Times New Roman" w:cs="Times New Roman"/>
          <w:sz w:val="18"/>
          <w:szCs w:val="18"/>
        </w:rPr>
        <w:t>, make changes as needed after</w:t>
      </w:r>
      <w:r w:rsidR="00F82AFE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584F183E" w14:textId="723106BD" w:rsidR="003A55B8" w:rsidRDefault="003A55B8">
      <w:pPr>
        <w:rPr>
          <w:rFonts w:ascii="Times New Roman" w:hAnsi="Times New Roman" w:cs="Times New Roman"/>
          <w:sz w:val="18"/>
          <w:szCs w:val="18"/>
        </w:rPr>
      </w:pPr>
      <w:r w:rsidRPr="003A55B8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3A55B8">
        <w:rPr>
          <w:rFonts w:ascii="Times New Roman" w:hAnsi="Times New Roman" w:cs="Times New Roman"/>
          <w:sz w:val="18"/>
          <w:szCs w:val="18"/>
        </w:rPr>
        <w:t xml:space="preserve"> – </w:t>
      </w:r>
      <w:r w:rsidR="004D6725">
        <w:rPr>
          <w:rFonts w:ascii="Times New Roman" w:hAnsi="Times New Roman" w:cs="Times New Roman"/>
          <w:sz w:val="18"/>
          <w:szCs w:val="18"/>
        </w:rPr>
        <w:t>Navigating to the HACCP page and reviewing both the Summary and HACCP Plans tabs</w:t>
      </w:r>
      <w:r w:rsidR="00A10772">
        <w:rPr>
          <w:rFonts w:ascii="Times New Roman" w:hAnsi="Times New Roman" w:cs="Times New Roman"/>
          <w:sz w:val="18"/>
          <w:szCs w:val="18"/>
        </w:rPr>
        <w:t xml:space="preserve"> w</w:t>
      </w:r>
      <w:r w:rsidRPr="003A55B8">
        <w:rPr>
          <w:rFonts w:ascii="Times New Roman" w:hAnsi="Times New Roman" w:cs="Times New Roman"/>
          <w:sz w:val="18"/>
          <w:szCs w:val="18"/>
        </w:rPr>
        <w:t>hen</w:t>
      </w:r>
      <w:r w:rsidR="00A53F32">
        <w:rPr>
          <w:rFonts w:ascii="Times New Roman" w:hAnsi="Times New Roman" w:cs="Times New Roman"/>
          <w:sz w:val="18"/>
          <w:szCs w:val="18"/>
        </w:rPr>
        <w:t xml:space="preserve"> the processing category is</w:t>
      </w:r>
      <w:r w:rsidRPr="003A55B8">
        <w:rPr>
          <w:rFonts w:ascii="Times New Roman" w:hAnsi="Times New Roman" w:cs="Times New Roman"/>
          <w:sz w:val="18"/>
          <w:szCs w:val="18"/>
        </w:rPr>
        <w:t xml:space="preserve"> applicable to the establishment</w:t>
      </w:r>
      <w:r w:rsidR="00A10772">
        <w:rPr>
          <w:rFonts w:ascii="Times New Roman" w:hAnsi="Times New Roman" w:cs="Times New Roman"/>
          <w:sz w:val="18"/>
          <w:szCs w:val="18"/>
        </w:rPr>
        <w:t>.</w:t>
      </w:r>
    </w:p>
    <w:p w14:paraId="00ABACB0" w14:textId="003186C4" w:rsidR="003A55B8" w:rsidRDefault="003A55B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="00A53F32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53F32">
        <w:rPr>
          <w:rFonts w:ascii="Times New Roman" w:hAnsi="Times New Roman" w:cs="Times New Roman"/>
          <w:sz w:val="18"/>
          <w:szCs w:val="18"/>
        </w:rPr>
        <w:t>Review</w:t>
      </w:r>
      <w:r w:rsidR="00A10772">
        <w:rPr>
          <w:rFonts w:ascii="Times New Roman" w:hAnsi="Times New Roman" w:cs="Times New Roman"/>
          <w:sz w:val="18"/>
          <w:szCs w:val="18"/>
        </w:rPr>
        <w:t>ing</w:t>
      </w:r>
      <w:r w:rsidR="00A53F32">
        <w:rPr>
          <w:rFonts w:ascii="Times New Roman" w:hAnsi="Times New Roman" w:cs="Times New Roman"/>
          <w:sz w:val="18"/>
          <w:szCs w:val="18"/>
        </w:rPr>
        <w:t xml:space="preserve"> the Grants, Facility, Schedule, Owner, Office and Attachments pages, including each tab under </w:t>
      </w:r>
      <w:r w:rsidR="002A4247">
        <w:rPr>
          <w:rFonts w:ascii="Times New Roman" w:hAnsi="Times New Roman" w:cs="Times New Roman"/>
          <w:sz w:val="18"/>
          <w:szCs w:val="18"/>
        </w:rPr>
        <w:t>each</w:t>
      </w:r>
      <w:r w:rsidR="00A53F32">
        <w:rPr>
          <w:rFonts w:ascii="Times New Roman" w:hAnsi="Times New Roman" w:cs="Times New Roman"/>
          <w:sz w:val="18"/>
          <w:szCs w:val="18"/>
        </w:rPr>
        <w:t xml:space="preserve"> page</w:t>
      </w:r>
      <w:r w:rsidR="002A4247">
        <w:rPr>
          <w:rFonts w:ascii="Times New Roman" w:hAnsi="Times New Roman" w:cs="Times New Roman"/>
          <w:sz w:val="18"/>
          <w:szCs w:val="18"/>
        </w:rPr>
        <w:t>.</w:t>
      </w:r>
    </w:p>
    <w:p w14:paraId="6AE99811" w14:textId="3ABCEA20" w:rsidR="00A53F32" w:rsidRDefault="00A53F3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3 </w:t>
      </w:r>
      <w:r>
        <w:rPr>
          <w:rFonts w:ascii="Times New Roman" w:hAnsi="Times New Roman" w:cs="Times New Roman"/>
          <w:sz w:val="18"/>
          <w:szCs w:val="18"/>
        </w:rPr>
        <w:t>– Review</w:t>
      </w:r>
      <w:r w:rsidR="00A10772">
        <w:rPr>
          <w:rFonts w:ascii="Times New Roman" w:hAnsi="Times New Roman" w:cs="Times New Roman"/>
          <w:sz w:val="18"/>
          <w:szCs w:val="18"/>
        </w:rPr>
        <w:t>ing</w:t>
      </w:r>
      <w:r>
        <w:rPr>
          <w:rFonts w:ascii="Times New Roman" w:hAnsi="Times New Roman" w:cs="Times New Roman"/>
          <w:sz w:val="18"/>
          <w:szCs w:val="18"/>
        </w:rPr>
        <w:t xml:space="preserve"> the Products Page, including each tab under th</w:t>
      </w:r>
      <w:r w:rsidR="002A4247">
        <w:rPr>
          <w:rFonts w:ascii="Times New Roman" w:hAnsi="Times New Roman" w:cs="Times New Roman"/>
          <w:sz w:val="18"/>
          <w:szCs w:val="18"/>
        </w:rPr>
        <w:t>at</w:t>
      </w:r>
      <w:r>
        <w:rPr>
          <w:rFonts w:ascii="Times New Roman" w:hAnsi="Times New Roman" w:cs="Times New Roman"/>
          <w:sz w:val="18"/>
          <w:szCs w:val="18"/>
        </w:rPr>
        <w:t xml:space="preserve"> page, for the specified HACCP processing category when applicable to the establishment</w:t>
      </w:r>
      <w:r w:rsidR="002A4247">
        <w:rPr>
          <w:rFonts w:ascii="Times New Roman" w:hAnsi="Times New Roman" w:cs="Times New Roman"/>
          <w:sz w:val="18"/>
          <w:szCs w:val="18"/>
        </w:rPr>
        <w:t>.</w:t>
      </w:r>
    </w:p>
    <w:p w14:paraId="25D7FAB6" w14:textId="0D1F70B7" w:rsidR="00A53F32" w:rsidRDefault="00A53F32" w:rsidP="00A53F3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4 </w:t>
      </w:r>
      <w:r>
        <w:rPr>
          <w:rFonts w:ascii="Times New Roman" w:hAnsi="Times New Roman" w:cs="Times New Roman"/>
          <w:sz w:val="18"/>
          <w:szCs w:val="18"/>
        </w:rPr>
        <w:t>– Review</w:t>
      </w:r>
      <w:r w:rsidR="00B45637">
        <w:rPr>
          <w:rFonts w:ascii="Times New Roman" w:hAnsi="Times New Roman" w:cs="Times New Roman"/>
          <w:sz w:val="18"/>
          <w:szCs w:val="18"/>
        </w:rPr>
        <w:t>ing</w:t>
      </w:r>
      <w:r>
        <w:rPr>
          <w:rFonts w:ascii="Times New Roman" w:hAnsi="Times New Roman" w:cs="Times New Roman"/>
          <w:sz w:val="18"/>
          <w:szCs w:val="18"/>
        </w:rPr>
        <w:t xml:space="preserve"> the Slaughter Tab, including each tab under th</w:t>
      </w:r>
      <w:r w:rsidR="002A4247">
        <w:rPr>
          <w:rFonts w:ascii="Times New Roman" w:hAnsi="Times New Roman" w:cs="Times New Roman"/>
          <w:sz w:val="18"/>
          <w:szCs w:val="18"/>
        </w:rPr>
        <w:t>at</w:t>
      </w:r>
      <w:r>
        <w:rPr>
          <w:rFonts w:ascii="Times New Roman" w:hAnsi="Times New Roman" w:cs="Times New Roman"/>
          <w:sz w:val="18"/>
          <w:szCs w:val="18"/>
        </w:rPr>
        <w:t xml:space="preserve"> page</w:t>
      </w:r>
      <w:r w:rsidR="002A4247">
        <w:rPr>
          <w:rFonts w:ascii="Times New Roman" w:hAnsi="Times New Roman" w:cs="Times New Roman"/>
          <w:sz w:val="18"/>
          <w:szCs w:val="18"/>
        </w:rPr>
        <w:t>.</w:t>
      </w:r>
    </w:p>
    <w:p w14:paraId="48331FD6" w14:textId="14B75C23" w:rsidR="00124D4D" w:rsidRPr="000371D7" w:rsidRDefault="00124D4D" w:rsidP="00124D4D">
      <w:pPr>
        <w:rPr>
          <w:rFonts w:ascii="Times New Roman" w:hAnsi="Times New Roman" w:cs="Times New Roman"/>
          <w:sz w:val="20"/>
          <w:szCs w:val="20"/>
        </w:rPr>
      </w:pPr>
      <w:r w:rsidRPr="000371D7">
        <w:rPr>
          <w:rFonts w:ascii="Times New Roman" w:hAnsi="Times New Roman" w:cs="Times New Roman"/>
          <w:sz w:val="20"/>
          <w:szCs w:val="20"/>
        </w:rPr>
        <w:t xml:space="preserve">*Reminder: </w:t>
      </w:r>
      <w:r w:rsidR="00B97769" w:rsidRPr="000371D7">
        <w:rPr>
          <w:rFonts w:ascii="Times New Roman" w:hAnsi="Times New Roman" w:cs="Times New Roman"/>
          <w:sz w:val="20"/>
          <w:szCs w:val="20"/>
        </w:rPr>
        <w:t xml:space="preserve">information entered in the profile generates the inspection tasks </w:t>
      </w:r>
      <w:r w:rsidR="00F91219">
        <w:rPr>
          <w:rFonts w:ascii="Times New Roman" w:hAnsi="Times New Roman" w:cs="Times New Roman"/>
          <w:sz w:val="20"/>
          <w:szCs w:val="20"/>
        </w:rPr>
        <w:t>you</w:t>
      </w:r>
      <w:r w:rsidR="00B97769" w:rsidRPr="000371D7">
        <w:rPr>
          <w:rFonts w:ascii="Times New Roman" w:hAnsi="Times New Roman" w:cs="Times New Roman"/>
          <w:sz w:val="20"/>
          <w:szCs w:val="20"/>
        </w:rPr>
        <w:t xml:space="preserve"> perform each day and </w:t>
      </w:r>
      <w:r w:rsidR="00D17B75" w:rsidRPr="000371D7">
        <w:rPr>
          <w:rFonts w:ascii="Times New Roman" w:hAnsi="Times New Roman" w:cs="Times New Roman"/>
          <w:sz w:val="20"/>
          <w:szCs w:val="20"/>
        </w:rPr>
        <w:t>the type and number of sampling tasks</w:t>
      </w:r>
      <w:r w:rsidR="000371D7" w:rsidRPr="000371D7">
        <w:rPr>
          <w:rFonts w:ascii="Times New Roman" w:hAnsi="Times New Roman" w:cs="Times New Roman"/>
          <w:sz w:val="20"/>
          <w:szCs w:val="20"/>
        </w:rPr>
        <w:t xml:space="preserve"> you are assigned. It is </w:t>
      </w:r>
      <w:r w:rsidR="000371D7" w:rsidRPr="000371D7">
        <w:rPr>
          <w:rFonts w:ascii="Times New Roman" w:hAnsi="Times New Roman" w:cs="Times New Roman"/>
          <w:b/>
          <w:bCs/>
          <w:sz w:val="20"/>
          <w:szCs w:val="20"/>
          <w:u w:val="single"/>
        </w:rPr>
        <w:t>critical</w:t>
      </w:r>
      <w:r w:rsidR="000371D7" w:rsidRPr="000371D7">
        <w:rPr>
          <w:rFonts w:ascii="Times New Roman" w:hAnsi="Times New Roman" w:cs="Times New Roman"/>
          <w:sz w:val="20"/>
          <w:szCs w:val="20"/>
        </w:rPr>
        <w:t xml:space="preserve"> that this information </w:t>
      </w:r>
      <w:r w:rsidR="00F91219">
        <w:rPr>
          <w:rFonts w:ascii="Times New Roman" w:hAnsi="Times New Roman" w:cs="Times New Roman"/>
          <w:sz w:val="20"/>
          <w:szCs w:val="20"/>
        </w:rPr>
        <w:t>remains</w:t>
      </w:r>
      <w:r w:rsidR="00A4708B">
        <w:rPr>
          <w:rFonts w:ascii="Times New Roman" w:hAnsi="Times New Roman" w:cs="Times New Roman"/>
          <w:sz w:val="20"/>
          <w:szCs w:val="20"/>
        </w:rPr>
        <w:t xml:space="preserve"> accurate.</w:t>
      </w:r>
      <w:r w:rsidR="000371D7" w:rsidRPr="000371D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24D4D" w:rsidRPr="000371D7" w:rsidSect="009B6C00">
      <w:headerReference w:type="default" r:id="rId8"/>
      <w:footerReference w:type="default" r:id="rId9"/>
      <w:pgSz w:w="12240" w:h="15840"/>
      <w:pgMar w:top="1440" w:right="1440" w:bottom="864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F0CC" w14:textId="77777777" w:rsidR="00D22623" w:rsidRDefault="00D22623" w:rsidP="00D22623">
      <w:pPr>
        <w:spacing w:after="0" w:line="240" w:lineRule="auto"/>
      </w:pPr>
      <w:r>
        <w:separator/>
      </w:r>
    </w:p>
  </w:endnote>
  <w:endnote w:type="continuationSeparator" w:id="0">
    <w:p w14:paraId="5DA5FE84" w14:textId="77777777" w:rsidR="00D22623" w:rsidRDefault="00D22623" w:rsidP="00D2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CC30" w14:textId="11E18659" w:rsidR="002A16CB" w:rsidRPr="009B6C00" w:rsidRDefault="00446582" w:rsidP="00446582">
    <w:pPr>
      <w:pStyle w:val="Footer"/>
      <w:jc w:val="right"/>
      <w:rPr>
        <w:rFonts w:ascii="Times New Roman" w:hAnsi="Times New Roman" w:cs="Times New Roman"/>
      </w:rPr>
    </w:pPr>
    <w:r w:rsidRPr="009B6C00">
      <w:rPr>
        <w:rFonts w:ascii="Times New Roman" w:hAnsi="Times New Roman" w:cs="Times New Roman"/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210355" wp14:editId="6E89A4F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71ADEBF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9B6C00">
      <w:rPr>
        <w:rFonts w:ascii="Times New Roman" w:hAnsi="Times New Roman" w:cs="Times New Roman"/>
        <w:color w:val="156082" w:themeColor="accent1"/>
      </w:rPr>
      <w:t xml:space="preserve"> </w:t>
    </w:r>
    <w:r w:rsidRPr="009B6C00">
      <w:rPr>
        <w:rFonts w:ascii="Times New Roman" w:eastAsiaTheme="majorEastAsia" w:hAnsi="Times New Roman" w:cs="Times New Roman"/>
        <w:sz w:val="20"/>
        <w:szCs w:val="20"/>
      </w:rPr>
      <w:t>Created: 2/</w:t>
    </w:r>
    <w:r w:rsidR="009B6C00" w:rsidRPr="009B6C00">
      <w:rPr>
        <w:rFonts w:ascii="Times New Roman" w:eastAsiaTheme="majorEastAsia" w:hAnsi="Times New Roman" w:cs="Times New Roman"/>
        <w:sz w:val="20"/>
        <w:szCs w:val="20"/>
      </w:rPr>
      <w:t>6/26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E282" w14:textId="77777777" w:rsidR="00D22623" w:rsidRDefault="00D22623" w:rsidP="00D22623">
      <w:pPr>
        <w:spacing w:after="0" w:line="240" w:lineRule="auto"/>
      </w:pPr>
      <w:r>
        <w:separator/>
      </w:r>
    </w:p>
  </w:footnote>
  <w:footnote w:type="continuationSeparator" w:id="0">
    <w:p w14:paraId="7116E1EF" w14:textId="77777777" w:rsidR="00D22623" w:rsidRDefault="00D22623" w:rsidP="00D2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BAFD" w14:textId="58D6B8F4" w:rsidR="00D22623" w:rsidRPr="00A53F32" w:rsidRDefault="00D22623" w:rsidP="00D22623">
    <w:pPr>
      <w:pStyle w:val="Header"/>
      <w:tabs>
        <w:tab w:val="clear" w:pos="4680"/>
        <w:tab w:val="clear" w:pos="9360"/>
        <w:tab w:val="left" w:pos="3179"/>
      </w:tabs>
      <w:jc w:val="center"/>
      <w:rPr>
        <w:rFonts w:ascii="Times New Roman" w:hAnsi="Times New Roman" w:cs="Times New Roman"/>
        <w:b/>
        <w:bCs/>
      </w:rPr>
    </w:pPr>
    <w:r w:rsidRPr="00A53F32">
      <w:rPr>
        <w:rFonts w:ascii="Times New Roman" w:hAnsi="Times New Roman" w:cs="Times New Roman"/>
        <w:b/>
        <w:bCs/>
      </w:rPr>
      <w:t>Quick Reference Guide – Update Establishment Profile Task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79F"/>
    <w:multiLevelType w:val="hybridMultilevel"/>
    <w:tmpl w:val="AA0AF03C"/>
    <w:lvl w:ilvl="0" w:tplc="0409000F">
      <w:start w:val="1"/>
      <w:numFmt w:val="decimal"/>
      <w:lvlText w:val="%1."/>
      <w:lvlJc w:val="left"/>
      <w:pPr>
        <w:ind w:left="791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" w15:restartNumberingAfterBreak="0">
    <w:nsid w:val="43C763E8"/>
    <w:multiLevelType w:val="hybridMultilevel"/>
    <w:tmpl w:val="F7D66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CD473E"/>
    <w:multiLevelType w:val="hybridMultilevel"/>
    <w:tmpl w:val="A6D25A74"/>
    <w:lvl w:ilvl="0" w:tplc="7604E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AC0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C02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C3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C4F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B4F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2EA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58D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889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34951792">
    <w:abstractNumId w:val="0"/>
  </w:num>
  <w:num w:numId="2" w16cid:durableId="1187598357">
    <w:abstractNumId w:val="2"/>
  </w:num>
  <w:num w:numId="3" w16cid:durableId="813178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23"/>
    <w:rsid w:val="000371D7"/>
    <w:rsid w:val="00102184"/>
    <w:rsid w:val="0010654D"/>
    <w:rsid w:val="001076BB"/>
    <w:rsid w:val="00124D4D"/>
    <w:rsid w:val="001834C1"/>
    <w:rsid w:val="00190AF5"/>
    <w:rsid w:val="00275870"/>
    <w:rsid w:val="002A16CB"/>
    <w:rsid w:val="002A4247"/>
    <w:rsid w:val="00344907"/>
    <w:rsid w:val="003A55B8"/>
    <w:rsid w:val="003B604C"/>
    <w:rsid w:val="00446582"/>
    <w:rsid w:val="004623BC"/>
    <w:rsid w:val="004C67C5"/>
    <w:rsid w:val="004D6725"/>
    <w:rsid w:val="005C405F"/>
    <w:rsid w:val="00730DD7"/>
    <w:rsid w:val="007F78C8"/>
    <w:rsid w:val="00891A91"/>
    <w:rsid w:val="008B31E8"/>
    <w:rsid w:val="008E708B"/>
    <w:rsid w:val="009B6C00"/>
    <w:rsid w:val="009B6CC2"/>
    <w:rsid w:val="00A10772"/>
    <w:rsid w:val="00A4708B"/>
    <w:rsid w:val="00A53F32"/>
    <w:rsid w:val="00AD23C0"/>
    <w:rsid w:val="00B45637"/>
    <w:rsid w:val="00B97769"/>
    <w:rsid w:val="00BE3905"/>
    <w:rsid w:val="00D17B75"/>
    <w:rsid w:val="00D22623"/>
    <w:rsid w:val="00D55864"/>
    <w:rsid w:val="00DB5A76"/>
    <w:rsid w:val="00DC0360"/>
    <w:rsid w:val="00EB0AEF"/>
    <w:rsid w:val="00F3743F"/>
    <w:rsid w:val="00F82AFE"/>
    <w:rsid w:val="00F9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A77CE4"/>
  <w15:chartTrackingRefBased/>
  <w15:docId w15:val="{5C920971-5BDD-4375-A980-673B4039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6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623"/>
  </w:style>
  <w:style w:type="paragraph" w:styleId="Footer">
    <w:name w:val="footer"/>
    <w:basedOn w:val="Normal"/>
    <w:link w:val="FooterChar"/>
    <w:uiPriority w:val="99"/>
    <w:unhideWhenUsed/>
    <w:rsid w:val="00D2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623"/>
  </w:style>
  <w:style w:type="character" w:styleId="Hyperlink">
    <w:name w:val="Hyperlink"/>
    <w:basedOn w:val="DefaultParagraphFont"/>
    <w:uiPriority w:val="99"/>
    <w:unhideWhenUsed/>
    <w:rsid w:val="00A53F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sis.usda.gov/policy/fsis-directives/5300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482</Words>
  <Characters>2446</Characters>
  <Application>Microsoft Office Word</Application>
  <DocSecurity>0</DocSecurity>
  <Lines>76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Ashleigh - FSIS</dc:creator>
  <cp:keywords/>
  <dc:description/>
  <cp:lastModifiedBy>Austin, Ashleigh - FSIS</cp:lastModifiedBy>
  <cp:revision>29</cp:revision>
  <dcterms:created xsi:type="dcterms:W3CDTF">2026-02-06T19:37:00Z</dcterms:created>
  <dcterms:modified xsi:type="dcterms:W3CDTF">2026-02-19T17:37:00Z</dcterms:modified>
</cp:coreProperties>
</file>