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1375BB8" w14:textId="77777777" w:rsidR="00855158" w:rsidRPr="00CD0492" w:rsidRDefault="00C75E29" w:rsidP="00855158">
      <w:pPr>
        <w:pStyle w:val="style24"/>
        <w:spacing w:before="0" w:beforeAutospacing="0" w:after="0" w:afterAutospacing="0"/>
        <w:jc w:val="center"/>
        <w:rPr>
          <w:rFonts w:ascii="Arial" w:hAnsi="Arial" w:cs="Arial"/>
          <w:color w:val="002060"/>
        </w:rPr>
      </w:pPr>
      <w:r w:rsidRPr="00CD0492">
        <w:rPr>
          <w:rFonts w:ascii="Arial" w:hAnsi="Arial" w:cs="Arial"/>
          <w:color w:val="002060"/>
        </w:rPr>
        <w:t>Policies</w:t>
      </w:r>
      <w:r w:rsidR="007E5DD5" w:rsidRPr="00CD0492">
        <w:rPr>
          <w:rFonts w:ascii="Arial" w:hAnsi="Arial" w:cs="Arial"/>
          <w:color w:val="002060"/>
        </w:rPr>
        <w:t xml:space="preserve"> and Guidelines</w:t>
      </w:r>
    </w:p>
    <w:p w14:paraId="73C696BB" w14:textId="2F08E4B6" w:rsidR="000747E8" w:rsidRPr="00CD0492" w:rsidRDefault="00855158" w:rsidP="00855158">
      <w:pPr>
        <w:pStyle w:val="style24"/>
        <w:spacing w:before="0" w:beforeAutospacing="0" w:after="0" w:afterAutospacing="0"/>
        <w:jc w:val="center"/>
        <w:rPr>
          <w:rFonts w:ascii="Arial" w:hAnsi="Arial" w:cs="Arial"/>
          <w:i/>
          <w:color w:val="002060"/>
          <w:sz w:val="22"/>
          <w:szCs w:val="22"/>
        </w:rPr>
      </w:pPr>
      <w:r w:rsidRPr="00CD0492">
        <w:rPr>
          <w:rFonts w:ascii="Arial" w:hAnsi="Arial" w:cs="Arial"/>
          <w:i/>
          <w:color w:val="002060"/>
          <w:sz w:val="22"/>
          <w:szCs w:val="22"/>
        </w:rPr>
        <w:t>(</w:t>
      </w:r>
      <w:r w:rsidR="000747E8" w:rsidRPr="00CD0492">
        <w:rPr>
          <w:rFonts w:ascii="Arial" w:hAnsi="Arial" w:cs="Arial"/>
          <w:i/>
          <w:color w:val="002060"/>
          <w:sz w:val="22"/>
          <w:szCs w:val="22"/>
        </w:rPr>
        <w:t>As o</w:t>
      </w:r>
      <w:r w:rsidR="0029291A" w:rsidRPr="00CD0492">
        <w:rPr>
          <w:rFonts w:ascii="Arial" w:hAnsi="Arial" w:cs="Arial"/>
          <w:i/>
          <w:color w:val="002060"/>
          <w:sz w:val="22"/>
          <w:szCs w:val="22"/>
        </w:rPr>
        <w:t xml:space="preserve">f </w:t>
      </w:r>
      <w:r w:rsidR="003368F0">
        <w:rPr>
          <w:rFonts w:ascii="Arial" w:hAnsi="Arial" w:cs="Arial"/>
          <w:i/>
          <w:color w:val="002060"/>
          <w:sz w:val="22"/>
          <w:szCs w:val="22"/>
        </w:rPr>
        <w:t>June</w:t>
      </w:r>
      <w:r w:rsidR="00D44EDF">
        <w:rPr>
          <w:rFonts w:ascii="Arial" w:hAnsi="Arial" w:cs="Arial"/>
          <w:i/>
          <w:color w:val="002060"/>
          <w:sz w:val="22"/>
          <w:szCs w:val="22"/>
        </w:rPr>
        <w:t xml:space="preserve"> 2</w:t>
      </w:r>
      <w:r w:rsidR="003368F0">
        <w:rPr>
          <w:rFonts w:ascii="Arial" w:hAnsi="Arial" w:cs="Arial"/>
          <w:i/>
          <w:color w:val="002060"/>
          <w:sz w:val="22"/>
          <w:szCs w:val="22"/>
        </w:rPr>
        <w:t>3</w:t>
      </w:r>
      <w:r w:rsidR="009D0BA0">
        <w:rPr>
          <w:rFonts w:ascii="Arial" w:hAnsi="Arial" w:cs="Arial"/>
          <w:i/>
          <w:color w:val="002060"/>
          <w:sz w:val="22"/>
          <w:szCs w:val="22"/>
        </w:rPr>
        <w:t>, 202</w:t>
      </w:r>
      <w:r w:rsidR="003368F0">
        <w:rPr>
          <w:rFonts w:ascii="Arial" w:hAnsi="Arial" w:cs="Arial"/>
          <w:i/>
          <w:color w:val="002060"/>
          <w:sz w:val="22"/>
          <w:szCs w:val="22"/>
        </w:rPr>
        <w:t>6</w:t>
      </w:r>
      <w:r w:rsidRPr="00CD0492">
        <w:rPr>
          <w:rFonts w:ascii="Arial" w:hAnsi="Arial" w:cs="Arial"/>
          <w:i/>
          <w:color w:val="002060"/>
          <w:sz w:val="22"/>
          <w:szCs w:val="22"/>
        </w:rPr>
        <w:t>)</w:t>
      </w:r>
    </w:p>
    <w:p w14:paraId="24916B90" w14:textId="77777777" w:rsidR="00C75E29" w:rsidRPr="00CD0492" w:rsidRDefault="00C75E29" w:rsidP="006144BE">
      <w:pPr>
        <w:pStyle w:val="style25"/>
        <w:rPr>
          <w:rFonts w:ascii="Arial" w:hAnsi="Arial" w:cs="Arial"/>
          <w:i/>
          <w:color w:val="002060"/>
          <w:sz w:val="20"/>
          <w:szCs w:val="20"/>
        </w:rPr>
      </w:pPr>
      <w:r w:rsidRPr="00CD0492">
        <w:rPr>
          <w:rFonts w:ascii="Arial" w:hAnsi="Arial" w:cs="Arial"/>
          <w:i/>
          <w:color w:val="002060"/>
          <w:sz w:val="20"/>
          <w:szCs w:val="20"/>
        </w:rPr>
        <w:t>The following policies</w:t>
      </w:r>
      <w:r w:rsidR="006144BE" w:rsidRPr="00CD0492">
        <w:rPr>
          <w:rFonts w:ascii="Arial" w:hAnsi="Arial" w:cs="Arial"/>
          <w:i/>
          <w:color w:val="002060"/>
          <w:sz w:val="20"/>
          <w:szCs w:val="20"/>
        </w:rPr>
        <w:t xml:space="preserve"> and guidelines </w:t>
      </w:r>
      <w:r w:rsidRPr="00CD0492">
        <w:rPr>
          <w:rFonts w:ascii="Arial" w:hAnsi="Arial" w:cs="Arial"/>
          <w:i/>
          <w:color w:val="002060"/>
          <w:sz w:val="20"/>
          <w:szCs w:val="20"/>
        </w:rPr>
        <w:t xml:space="preserve">were approved by the NC ADFP Trust Fund Advisory Committee. The list is not all-inclusive and will be periodically </w:t>
      </w:r>
      <w:r w:rsidR="006144BE" w:rsidRPr="00CD0492">
        <w:rPr>
          <w:rFonts w:ascii="Arial" w:hAnsi="Arial" w:cs="Arial"/>
          <w:i/>
          <w:color w:val="002060"/>
          <w:sz w:val="20"/>
          <w:szCs w:val="20"/>
        </w:rPr>
        <w:t>u</w:t>
      </w:r>
      <w:r w:rsidRPr="00CD0492">
        <w:rPr>
          <w:rFonts w:ascii="Arial" w:hAnsi="Arial" w:cs="Arial"/>
          <w:i/>
          <w:color w:val="002060"/>
          <w:sz w:val="20"/>
          <w:szCs w:val="20"/>
        </w:rPr>
        <w:t xml:space="preserve">pdated. </w:t>
      </w:r>
    </w:p>
    <w:p w14:paraId="79D82EE1" w14:textId="77777777" w:rsidR="00C75E29" w:rsidRPr="00CD0492" w:rsidRDefault="00C75E29" w:rsidP="00C75E29">
      <w:pPr>
        <w:pStyle w:val="style25"/>
        <w:rPr>
          <w:rFonts w:ascii="Arial" w:hAnsi="Arial" w:cs="Arial"/>
          <w:color w:val="002060"/>
        </w:rPr>
      </w:pPr>
      <w:r w:rsidRPr="00CD0492">
        <w:rPr>
          <w:rFonts w:ascii="Arial" w:hAnsi="Arial" w:cs="Arial"/>
          <w:color w:val="002060"/>
          <w:u w:val="single"/>
        </w:rPr>
        <w:t>Agricultural Conservation Easements</w:t>
      </w:r>
    </w:p>
    <w:p w14:paraId="758B5716" w14:textId="77777777" w:rsidR="00C75E29" w:rsidRPr="00CD0492" w:rsidRDefault="00C75E29" w:rsidP="00C75E29">
      <w:pPr>
        <w:pStyle w:val="NormalWeb"/>
        <w:rPr>
          <w:rFonts w:ascii="Arial" w:hAnsi="Arial" w:cs="Arial"/>
          <w:color w:val="002060"/>
          <w:sz w:val="18"/>
          <w:szCs w:val="18"/>
        </w:rPr>
      </w:pPr>
      <w:r w:rsidRPr="00CD0492">
        <w:rPr>
          <w:rStyle w:val="style71"/>
          <w:rFonts w:ascii="Arial" w:hAnsi="Arial" w:cs="Arial"/>
          <w:color w:val="002060"/>
        </w:rPr>
        <w:t xml:space="preserve">Preference: </w:t>
      </w:r>
      <w:r w:rsidRPr="00CD0492">
        <w:rPr>
          <w:rStyle w:val="style21"/>
          <w:rFonts w:ascii="Arial" w:hAnsi="Arial" w:cs="Arial"/>
          <w:color w:val="002060"/>
        </w:rPr>
        <w:t xml:space="preserve">Preference will be given to projects protecting whole farm units rather than projects protecting partial acreage.   </w:t>
      </w:r>
      <w:r w:rsidRPr="00CD0492">
        <w:rPr>
          <w:rStyle w:val="Emphasis"/>
          <w:rFonts w:ascii="Arial" w:hAnsi="Arial" w:cs="Arial"/>
          <w:color w:val="002060"/>
          <w:sz w:val="18"/>
          <w:szCs w:val="18"/>
        </w:rPr>
        <w:t>(Approved 09-03-08)</w:t>
      </w:r>
      <w:r w:rsidRPr="00CD0492">
        <w:rPr>
          <w:rStyle w:val="style21"/>
          <w:rFonts w:ascii="Arial" w:hAnsi="Arial" w:cs="Arial"/>
          <w:color w:val="002060"/>
        </w:rPr>
        <w:t xml:space="preserve"> </w:t>
      </w:r>
    </w:p>
    <w:p w14:paraId="7D98CFD0" w14:textId="6F68FCFB" w:rsidR="00C75E29" w:rsidRPr="00CD0492" w:rsidRDefault="00C75E29" w:rsidP="00C75E29">
      <w:pPr>
        <w:pStyle w:val="NormalWeb"/>
        <w:rPr>
          <w:rFonts w:ascii="Arial" w:hAnsi="Arial" w:cs="Arial"/>
          <w:color w:val="002060"/>
          <w:sz w:val="18"/>
          <w:szCs w:val="18"/>
        </w:rPr>
      </w:pPr>
      <w:r w:rsidRPr="00CD0492">
        <w:rPr>
          <w:rStyle w:val="Strong"/>
          <w:rFonts w:ascii="Arial" w:hAnsi="Arial" w:cs="Arial"/>
          <w:color w:val="002060"/>
          <w:sz w:val="18"/>
          <w:szCs w:val="18"/>
        </w:rPr>
        <w:t xml:space="preserve">Term (Non-Permanent) Easement Value: </w:t>
      </w:r>
      <w:r w:rsidRPr="00CD0492">
        <w:rPr>
          <w:rFonts w:ascii="Arial" w:hAnsi="Arial" w:cs="Arial"/>
          <w:color w:val="002060"/>
          <w:sz w:val="18"/>
          <w:szCs w:val="18"/>
        </w:rPr>
        <w:t xml:space="preserve">Term agreements will be paid on a percentage of the easement value and will be eligible for funds as follows: </w:t>
      </w:r>
      <w:r w:rsidRPr="00CD0492">
        <w:rPr>
          <w:rStyle w:val="Emphasis"/>
          <w:rFonts w:ascii="Arial" w:hAnsi="Arial" w:cs="Arial"/>
          <w:color w:val="002060"/>
          <w:sz w:val="18"/>
          <w:szCs w:val="18"/>
        </w:rPr>
        <w:t xml:space="preserve">(Approved </w:t>
      </w:r>
      <w:r w:rsidR="007569A1">
        <w:rPr>
          <w:rStyle w:val="Emphasis"/>
          <w:rFonts w:ascii="Arial" w:hAnsi="Arial" w:cs="Arial"/>
          <w:color w:val="002060"/>
          <w:sz w:val="18"/>
          <w:szCs w:val="18"/>
        </w:rPr>
        <w:t>8</w:t>
      </w:r>
      <w:r w:rsidRPr="00CD0492">
        <w:rPr>
          <w:rStyle w:val="Emphasis"/>
          <w:rFonts w:ascii="Arial" w:hAnsi="Arial" w:cs="Arial"/>
          <w:color w:val="002060"/>
          <w:sz w:val="18"/>
          <w:szCs w:val="18"/>
        </w:rPr>
        <w:t>-</w:t>
      </w:r>
      <w:r w:rsidR="007569A1">
        <w:rPr>
          <w:rStyle w:val="Emphasis"/>
          <w:rFonts w:ascii="Arial" w:hAnsi="Arial" w:cs="Arial"/>
          <w:color w:val="002060"/>
          <w:sz w:val="18"/>
          <w:szCs w:val="18"/>
        </w:rPr>
        <w:t>23</w:t>
      </w:r>
      <w:r w:rsidRPr="00CD0492">
        <w:rPr>
          <w:rStyle w:val="Emphasis"/>
          <w:rFonts w:ascii="Arial" w:hAnsi="Arial" w:cs="Arial"/>
          <w:color w:val="002060"/>
          <w:sz w:val="18"/>
          <w:szCs w:val="18"/>
        </w:rPr>
        <w:t>-</w:t>
      </w:r>
      <w:r w:rsidR="007569A1">
        <w:rPr>
          <w:rStyle w:val="Emphasis"/>
          <w:rFonts w:ascii="Arial" w:hAnsi="Arial" w:cs="Arial"/>
          <w:color w:val="002060"/>
          <w:sz w:val="18"/>
          <w:szCs w:val="18"/>
        </w:rPr>
        <w:t>23</w:t>
      </w:r>
      <w:r w:rsidRPr="00CD0492">
        <w:rPr>
          <w:rStyle w:val="Emphasis"/>
          <w:rFonts w:ascii="Arial" w:hAnsi="Arial" w:cs="Arial"/>
          <w:color w:val="002060"/>
          <w:sz w:val="18"/>
          <w:szCs w:val="18"/>
        </w:rPr>
        <w:t>)</w:t>
      </w:r>
    </w:p>
    <w:tbl>
      <w:tblPr>
        <w:tblW w:w="3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997"/>
        <w:gridCol w:w="3471"/>
      </w:tblGrid>
      <w:tr w:rsidR="00CD0492" w:rsidRPr="00CD0492" w14:paraId="0E465A14"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14:paraId="6A696342" w14:textId="77777777" w:rsidR="00C75E29" w:rsidRPr="00CD0492" w:rsidRDefault="00C75E29">
            <w:pPr>
              <w:jc w:val="center"/>
              <w:rPr>
                <w:rFonts w:ascii="Arial" w:hAnsi="Arial" w:cs="Arial"/>
                <w:color w:val="002060"/>
                <w:sz w:val="18"/>
                <w:szCs w:val="18"/>
              </w:rPr>
            </w:pPr>
            <w:proofErr w:type="gramStart"/>
            <w:r w:rsidRPr="00CD0492">
              <w:rPr>
                <w:rFonts w:ascii="Arial" w:hAnsi="Arial" w:cs="Arial"/>
                <w:color w:val="002060"/>
                <w:sz w:val="18"/>
                <w:szCs w:val="18"/>
              </w:rPr>
              <w:t>50 year</w:t>
            </w:r>
            <w:proofErr w:type="gramEnd"/>
            <w:r w:rsidRPr="00CD0492">
              <w:rPr>
                <w:rFonts w:ascii="Arial" w:hAnsi="Arial" w:cs="Arial"/>
                <w:color w:val="002060"/>
                <w:sz w:val="18"/>
                <w:szCs w:val="18"/>
              </w:rPr>
              <w:t xml:space="preserve"> easement </w:t>
            </w:r>
          </w:p>
        </w:tc>
        <w:tc>
          <w:tcPr>
            <w:tcW w:w="0" w:type="auto"/>
            <w:tcBorders>
              <w:top w:val="outset" w:sz="6" w:space="0" w:color="auto"/>
              <w:left w:val="outset" w:sz="6" w:space="0" w:color="auto"/>
              <w:bottom w:val="outset" w:sz="6" w:space="0" w:color="auto"/>
              <w:right w:val="outset" w:sz="6" w:space="0" w:color="auto"/>
            </w:tcBorders>
          </w:tcPr>
          <w:p w14:paraId="6811CF30" w14:textId="77777777" w:rsidR="00C75E29" w:rsidRPr="00CD0492" w:rsidRDefault="00C75E29">
            <w:pPr>
              <w:jc w:val="center"/>
              <w:rPr>
                <w:rFonts w:ascii="Arial" w:hAnsi="Arial" w:cs="Arial"/>
                <w:color w:val="002060"/>
                <w:sz w:val="18"/>
                <w:szCs w:val="18"/>
              </w:rPr>
            </w:pPr>
            <w:r w:rsidRPr="00CD0492">
              <w:rPr>
                <w:rFonts w:ascii="Arial" w:hAnsi="Arial" w:cs="Arial"/>
                <w:color w:val="002060"/>
                <w:sz w:val="18"/>
                <w:szCs w:val="18"/>
              </w:rPr>
              <w:t xml:space="preserve">60% easement value </w:t>
            </w:r>
          </w:p>
        </w:tc>
      </w:tr>
      <w:tr w:rsidR="00CD0492" w:rsidRPr="00CD0492" w14:paraId="6E512636"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14:paraId="3BFA6B7C" w14:textId="77777777" w:rsidR="00C75E29" w:rsidRPr="00CD0492" w:rsidRDefault="00C75E29">
            <w:pPr>
              <w:jc w:val="center"/>
              <w:rPr>
                <w:rFonts w:ascii="Arial" w:hAnsi="Arial" w:cs="Arial"/>
                <w:color w:val="002060"/>
                <w:sz w:val="18"/>
                <w:szCs w:val="18"/>
              </w:rPr>
            </w:pPr>
            <w:proofErr w:type="gramStart"/>
            <w:r w:rsidRPr="00CD0492">
              <w:rPr>
                <w:rFonts w:ascii="Arial" w:hAnsi="Arial" w:cs="Arial"/>
                <w:color w:val="002060"/>
                <w:sz w:val="18"/>
                <w:szCs w:val="18"/>
              </w:rPr>
              <w:t>40 year</w:t>
            </w:r>
            <w:proofErr w:type="gramEnd"/>
            <w:r w:rsidRPr="00CD0492">
              <w:rPr>
                <w:rFonts w:ascii="Arial" w:hAnsi="Arial" w:cs="Arial"/>
                <w:color w:val="002060"/>
                <w:sz w:val="18"/>
                <w:szCs w:val="18"/>
              </w:rPr>
              <w:t xml:space="preserve"> easement</w:t>
            </w:r>
          </w:p>
        </w:tc>
        <w:tc>
          <w:tcPr>
            <w:tcW w:w="0" w:type="auto"/>
            <w:tcBorders>
              <w:top w:val="outset" w:sz="6" w:space="0" w:color="auto"/>
              <w:left w:val="outset" w:sz="6" w:space="0" w:color="auto"/>
              <w:bottom w:val="outset" w:sz="6" w:space="0" w:color="auto"/>
              <w:right w:val="outset" w:sz="6" w:space="0" w:color="auto"/>
            </w:tcBorders>
          </w:tcPr>
          <w:p w14:paraId="10FA530F" w14:textId="77777777" w:rsidR="00C75E29" w:rsidRPr="00CD0492" w:rsidRDefault="00C75E29">
            <w:pPr>
              <w:jc w:val="center"/>
              <w:rPr>
                <w:rFonts w:ascii="Arial" w:hAnsi="Arial" w:cs="Arial"/>
                <w:color w:val="002060"/>
                <w:sz w:val="18"/>
                <w:szCs w:val="18"/>
              </w:rPr>
            </w:pPr>
            <w:r w:rsidRPr="00CD0492">
              <w:rPr>
                <w:rFonts w:ascii="Arial" w:hAnsi="Arial" w:cs="Arial"/>
                <w:color w:val="002060"/>
                <w:sz w:val="18"/>
                <w:szCs w:val="18"/>
              </w:rPr>
              <w:t xml:space="preserve">40% easement value </w:t>
            </w:r>
          </w:p>
        </w:tc>
      </w:tr>
      <w:tr w:rsidR="00CD0492" w:rsidRPr="00CD0492" w14:paraId="71440639"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14:paraId="3A33D590" w14:textId="77777777" w:rsidR="00C75E29" w:rsidRPr="00CD0492" w:rsidRDefault="00C75E29">
            <w:pPr>
              <w:jc w:val="center"/>
              <w:rPr>
                <w:rFonts w:ascii="Arial" w:hAnsi="Arial" w:cs="Arial"/>
                <w:color w:val="002060"/>
                <w:sz w:val="18"/>
                <w:szCs w:val="18"/>
              </w:rPr>
            </w:pPr>
            <w:proofErr w:type="gramStart"/>
            <w:r w:rsidRPr="00CD0492">
              <w:rPr>
                <w:rFonts w:ascii="Arial" w:hAnsi="Arial" w:cs="Arial"/>
                <w:color w:val="002060"/>
                <w:sz w:val="18"/>
                <w:szCs w:val="18"/>
              </w:rPr>
              <w:t>30 year</w:t>
            </w:r>
            <w:proofErr w:type="gramEnd"/>
            <w:r w:rsidRPr="00CD0492">
              <w:rPr>
                <w:rFonts w:ascii="Arial" w:hAnsi="Arial" w:cs="Arial"/>
                <w:color w:val="002060"/>
                <w:sz w:val="18"/>
                <w:szCs w:val="18"/>
              </w:rPr>
              <w:t xml:space="preserve"> easement</w:t>
            </w:r>
          </w:p>
        </w:tc>
        <w:tc>
          <w:tcPr>
            <w:tcW w:w="0" w:type="auto"/>
            <w:tcBorders>
              <w:top w:val="outset" w:sz="6" w:space="0" w:color="auto"/>
              <w:left w:val="outset" w:sz="6" w:space="0" w:color="auto"/>
              <w:bottom w:val="outset" w:sz="6" w:space="0" w:color="auto"/>
              <w:right w:val="outset" w:sz="6" w:space="0" w:color="auto"/>
            </w:tcBorders>
          </w:tcPr>
          <w:p w14:paraId="7194B72C" w14:textId="77777777" w:rsidR="00C75E29" w:rsidRPr="00CD0492" w:rsidRDefault="00C75E29">
            <w:pPr>
              <w:jc w:val="center"/>
              <w:rPr>
                <w:rFonts w:ascii="Arial" w:hAnsi="Arial" w:cs="Arial"/>
                <w:color w:val="002060"/>
                <w:sz w:val="18"/>
                <w:szCs w:val="18"/>
              </w:rPr>
            </w:pPr>
            <w:r w:rsidRPr="00CD0492">
              <w:rPr>
                <w:rFonts w:ascii="Arial" w:hAnsi="Arial" w:cs="Arial"/>
                <w:color w:val="002060"/>
                <w:sz w:val="18"/>
                <w:szCs w:val="18"/>
              </w:rPr>
              <w:t>30% easement value</w:t>
            </w:r>
          </w:p>
        </w:tc>
      </w:tr>
    </w:tbl>
    <w:p w14:paraId="218A0C6D" w14:textId="570B73EE" w:rsidR="00C768EA" w:rsidRPr="00C768EA" w:rsidRDefault="00C768EA" w:rsidP="00C75E29">
      <w:pPr>
        <w:pStyle w:val="NormalWeb"/>
        <w:rPr>
          <w:rStyle w:val="Strong"/>
          <w:rFonts w:ascii="Arial" w:hAnsi="Arial" w:cs="Arial"/>
          <w:b w:val="0"/>
          <w:bCs w:val="0"/>
          <w:color w:val="002060"/>
          <w:sz w:val="18"/>
          <w:szCs w:val="18"/>
        </w:rPr>
      </w:pPr>
      <w:r w:rsidRPr="00C768EA">
        <w:rPr>
          <w:rStyle w:val="Strong"/>
          <w:rFonts w:ascii="Arial" w:hAnsi="Arial" w:cs="Arial"/>
          <w:b w:val="0"/>
          <w:bCs w:val="0"/>
          <w:color w:val="002060"/>
          <w:sz w:val="18"/>
          <w:szCs w:val="18"/>
        </w:rPr>
        <w:t>Term easement landowners seeking permanent easement status are encouraged to apply for a perpetual easement. If selected for funding, the funding received previously will be deducted from the perpetual easement purchase price.</w:t>
      </w:r>
    </w:p>
    <w:p w14:paraId="61B2C19F" w14:textId="5706236E" w:rsidR="00246D84" w:rsidRPr="00CD0492" w:rsidRDefault="00246D84" w:rsidP="00C75E29">
      <w:pPr>
        <w:pStyle w:val="NormalWeb"/>
        <w:rPr>
          <w:rStyle w:val="Strong"/>
          <w:rFonts w:ascii="Arial" w:hAnsi="Arial" w:cs="Arial"/>
          <w:b w:val="0"/>
          <w:color w:val="002060"/>
          <w:sz w:val="18"/>
          <w:szCs w:val="18"/>
        </w:rPr>
      </w:pPr>
      <w:r w:rsidRPr="00CD0492">
        <w:rPr>
          <w:rStyle w:val="Strong"/>
          <w:rFonts w:ascii="Arial" w:hAnsi="Arial" w:cs="Arial"/>
          <w:color w:val="002060"/>
          <w:sz w:val="18"/>
          <w:szCs w:val="18"/>
        </w:rPr>
        <w:t>Term Easements</w:t>
      </w:r>
      <w:r w:rsidR="00E8359E" w:rsidRPr="00CD0492">
        <w:rPr>
          <w:rStyle w:val="Strong"/>
          <w:rFonts w:ascii="Arial" w:hAnsi="Arial" w:cs="Arial"/>
          <w:color w:val="002060"/>
          <w:sz w:val="18"/>
          <w:szCs w:val="18"/>
        </w:rPr>
        <w:t xml:space="preserve"> &amp; EVAD Relationship: </w:t>
      </w:r>
      <w:r w:rsidR="00E8359E" w:rsidRPr="00CD0492">
        <w:rPr>
          <w:rStyle w:val="Strong"/>
          <w:rFonts w:ascii="Arial" w:hAnsi="Arial" w:cs="Arial"/>
          <w:b w:val="0"/>
          <w:color w:val="002060"/>
          <w:sz w:val="18"/>
          <w:szCs w:val="18"/>
        </w:rPr>
        <w:t xml:space="preserve">Agricultural Conservation Easements may be used to add additional years to an </w:t>
      </w:r>
      <w:r w:rsidR="008365BC" w:rsidRPr="00CD0492">
        <w:rPr>
          <w:rStyle w:val="Strong"/>
          <w:rFonts w:ascii="Arial" w:hAnsi="Arial" w:cs="Arial"/>
          <w:b w:val="0"/>
          <w:color w:val="002060"/>
          <w:sz w:val="18"/>
          <w:szCs w:val="18"/>
        </w:rPr>
        <w:t xml:space="preserve">existing </w:t>
      </w:r>
      <w:r w:rsidR="00E8359E" w:rsidRPr="00CD0492">
        <w:rPr>
          <w:rStyle w:val="Strong"/>
          <w:rFonts w:ascii="Arial" w:hAnsi="Arial" w:cs="Arial"/>
          <w:b w:val="0"/>
          <w:color w:val="002060"/>
          <w:sz w:val="18"/>
          <w:szCs w:val="18"/>
        </w:rPr>
        <w:t xml:space="preserve">EVAD agreement but </w:t>
      </w:r>
      <w:proofErr w:type="spellStart"/>
      <w:r w:rsidR="00E8359E" w:rsidRPr="00CD0492">
        <w:rPr>
          <w:rStyle w:val="Strong"/>
          <w:rFonts w:ascii="Arial" w:hAnsi="Arial" w:cs="Arial"/>
          <w:b w:val="0"/>
          <w:color w:val="002060"/>
          <w:sz w:val="18"/>
          <w:szCs w:val="18"/>
        </w:rPr>
        <w:t>can not</w:t>
      </w:r>
      <w:proofErr w:type="spellEnd"/>
      <w:r w:rsidR="00E8359E" w:rsidRPr="00CD0492">
        <w:rPr>
          <w:rStyle w:val="Strong"/>
          <w:rFonts w:ascii="Arial" w:hAnsi="Arial" w:cs="Arial"/>
          <w:b w:val="0"/>
          <w:color w:val="002060"/>
          <w:sz w:val="18"/>
          <w:szCs w:val="18"/>
        </w:rPr>
        <w:t xml:space="preserve"> grant funds </w:t>
      </w:r>
      <w:r w:rsidR="008365BC" w:rsidRPr="00CD0492">
        <w:rPr>
          <w:rStyle w:val="Strong"/>
          <w:rFonts w:ascii="Arial" w:hAnsi="Arial" w:cs="Arial"/>
          <w:b w:val="0"/>
          <w:color w:val="002060"/>
          <w:sz w:val="18"/>
          <w:szCs w:val="18"/>
        </w:rPr>
        <w:t>for the remaining time of existing EVAD agreements.</w:t>
      </w:r>
      <w:r w:rsidR="00840127" w:rsidRPr="00CD0492">
        <w:rPr>
          <w:rStyle w:val="Strong"/>
          <w:rFonts w:ascii="Arial" w:hAnsi="Arial" w:cs="Arial"/>
          <w:b w:val="0"/>
          <w:color w:val="002060"/>
          <w:sz w:val="18"/>
          <w:szCs w:val="18"/>
        </w:rPr>
        <w:t xml:space="preserve"> </w:t>
      </w:r>
      <w:r w:rsidR="00840127" w:rsidRPr="00CD0492">
        <w:rPr>
          <w:rStyle w:val="Strong"/>
          <w:rFonts w:ascii="Arial" w:hAnsi="Arial" w:cs="Arial"/>
          <w:b w:val="0"/>
          <w:i/>
          <w:color w:val="002060"/>
          <w:sz w:val="18"/>
          <w:szCs w:val="18"/>
        </w:rPr>
        <w:t>(Approved 12</w:t>
      </w:r>
      <w:r w:rsidR="008B517D">
        <w:rPr>
          <w:rStyle w:val="Strong"/>
          <w:rFonts w:ascii="Arial" w:hAnsi="Arial" w:cs="Arial"/>
          <w:b w:val="0"/>
          <w:i/>
          <w:color w:val="002060"/>
          <w:sz w:val="18"/>
          <w:szCs w:val="18"/>
        </w:rPr>
        <w:t>-</w:t>
      </w:r>
      <w:r w:rsidR="00840127" w:rsidRPr="00CD0492">
        <w:rPr>
          <w:rStyle w:val="Strong"/>
          <w:rFonts w:ascii="Arial" w:hAnsi="Arial" w:cs="Arial"/>
          <w:b w:val="0"/>
          <w:i/>
          <w:color w:val="002060"/>
          <w:sz w:val="18"/>
          <w:szCs w:val="18"/>
        </w:rPr>
        <w:t>09</w:t>
      </w:r>
      <w:r w:rsidR="008B517D">
        <w:rPr>
          <w:rStyle w:val="Strong"/>
          <w:rFonts w:ascii="Arial" w:hAnsi="Arial" w:cs="Arial"/>
          <w:b w:val="0"/>
          <w:i/>
          <w:color w:val="002060"/>
          <w:sz w:val="18"/>
          <w:szCs w:val="18"/>
        </w:rPr>
        <w:t>-</w:t>
      </w:r>
      <w:r w:rsidR="00840127" w:rsidRPr="00CD0492">
        <w:rPr>
          <w:rStyle w:val="Strong"/>
          <w:rFonts w:ascii="Arial" w:hAnsi="Arial" w:cs="Arial"/>
          <w:b w:val="0"/>
          <w:i/>
          <w:color w:val="002060"/>
          <w:sz w:val="18"/>
          <w:szCs w:val="18"/>
        </w:rPr>
        <w:t>08)</w:t>
      </w:r>
    </w:p>
    <w:p w14:paraId="5108938D" w14:textId="77777777" w:rsidR="007649A8" w:rsidRDefault="00C75E29" w:rsidP="007649A8">
      <w:pPr>
        <w:pStyle w:val="NormalWeb"/>
        <w:rPr>
          <w:rFonts w:ascii="Arial" w:hAnsi="Arial" w:cs="Arial"/>
          <w:color w:val="002060"/>
          <w:sz w:val="18"/>
          <w:szCs w:val="18"/>
        </w:rPr>
      </w:pPr>
      <w:r w:rsidRPr="00CD0492">
        <w:rPr>
          <w:rStyle w:val="Strong"/>
          <w:rFonts w:ascii="Arial" w:hAnsi="Arial" w:cs="Arial"/>
          <w:color w:val="002060"/>
          <w:sz w:val="18"/>
          <w:szCs w:val="18"/>
        </w:rPr>
        <w:t>Appraisals</w:t>
      </w:r>
      <w:r w:rsidR="00EE009D">
        <w:rPr>
          <w:rStyle w:val="Strong"/>
          <w:rFonts w:ascii="Arial" w:hAnsi="Arial" w:cs="Arial"/>
          <w:color w:val="002060"/>
          <w:sz w:val="18"/>
          <w:szCs w:val="18"/>
        </w:rPr>
        <w:t xml:space="preserve">: </w:t>
      </w:r>
      <w:r w:rsidRPr="00CD0492">
        <w:rPr>
          <w:rStyle w:val="Strong"/>
          <w:rFonts w:ascii="Arial" w:hAnsi="Arial" w:cs="Arial"/>
          <w:color w:val="002060"/>
          <w:sz w:val="18"/>
          <w:szCs w:val="18"/>
        </w:rPr>
        <w:t xml:space="preserve"> </w:t>
      </w:r>
      <w:r w:rsidR="007E57F8" w:rsidRPr="007E57F8">
        <w:rPr>
          <w:rFonts w:ascii="Arial" w:hAnsi="Arial" w:cs="Arial"/>
          <w:color w:val="002060"/>
          <w:sz w:val="18"/>
          <w:szCs w:val="18"/>
        </w:rPr>
        <w:t>When submitting a conservation easement application, the estimated easement purchase value must be calculated through one of five methods:</w:t>
      </w:r>
    </w:p>
    <w:p w14:paraId="75649C0D" w14:textId="77777777" w:rsidR="007649A8" w:rsidRDefault="007E57F8" w:rsidP="007649A8">
      <w:pPr>
        <w:pStyle w:val="NormalWeb"/>
        <w:numPr>
          <w:ilvl w:val="0"/>
          <w:numId w:val="18"/>
        </w:numPr>
        <w:rPr>
          <w:rFonts w:ascii="Arial" w:hAnsi="Arial" w:cs="Arial"/>
          <w:color w:val="002060"/>
          <w:sz w:val="18"/>
          <w:szCs w:val="18"/>
        </w:rPr>
      </w:pPr>
      <w:r w:rsidRPr="007E57F8">
        <w:rPr>
          <w:rFonts w:ascii="Arial" w:hAnsi="Arial" w:cs="Arial"/>
          <w:color w:val="002060"/>
          <w:sz w:val="18"/>
          <w:szCs w:val="18"/>
        </w:rPr>
        <w:t>Certified Development Rights Appraisal by a Qualified Appraiser with an effective date determined by the application rules.</w:t>
      </w:r>
    </w:p>
    <w:p w14:paraId="7C535742" w14:textId="77777777" w:rsidR="007649A8" w:rsidRDefault="007E57F8" w:rsidP="007649A8">
      <w:pPr>
        <w:pStyle w:val="NormalWeb"/>
        <w:numPr>
          <w:ilvl w:val="0"/>
          <w:numId w:val="18"/>
        </w:numPr>
        <w:rPr>
          <w:rFonts w:ascii="Arial" w:hAnsi="Arial" w:cs="Arial"/>
          <w:color w:val="002060"/>
          <w:sz w:val="18"/>
          <w:szCs w:val="18"/>
        </w:rPr>
      </w:pPr>
      <w:r w:rsidRPr="007E57F8">
        <w:rPr>
          <w:rFonts w:ascii="Arial" w:hAnsi="Arial" w:cs="Arial"/>
          <w:color w:val="002060"/>
          <w:sz w:val="18"/>
          <w:szCs w:val="18"/>
        </w:rPr>
        <w:t>Comparable Certified Development Rights Appraisal from previous projects with an effective date determined by the application rules. The Comparable Certified Development Rights Appraisal must be within the same county or within 50 miles of the applicant’s property.</w:t>
      </w:r>
    </w:p>
    <w:p w14:paraId="65937D48" w14:textId="77777777" w:rsidR="007649A8" w:rsidRDefault="007E57F8" w:rsidP="007649A8">
      <w:pPr>
        <w:pStyle w:val="NormalWeb"/>
        <w:numPr>
          <w:ilvl w:val="0"/>
          <w:numId w:val="18"/>
        </w:numPr>
        <w:rPr>
          <w:rFonts w:ascii="Arial" w:hAnsi="Arial" w:cs="Arial"/>
          <w:color w:val="002060"/>
          <w:sz w:val="18"/>
          <w:szCs w:val="18"/>
        </w:rPr>
      </w:pPr>
      <w:r w:rsidRPr="007E57F8">
        <w:rPr>
          <w:rFonts w:ascii="Arial" w:hAnsi="Arial" w:cs="Arial"/>
          <w:color w:val="002060"/>
          <w:sz w:val="18"/>
          <w:szCs w:val="18"/>
        </w:rPr>
        <w:t>For property enrolled in Present-Use Value (PUV), the difference between the fair market value and the PUV as determined by the tax card.</w:t>
      </w:r>
    </w:p>
    <w:p w14:paraId="5EC06566" w14:textId="77777777" w:rsidR="007649A8" w:rsidRDefault="007E57F8" w:rsidP="007649A8">
      <w:pPr>
        <w:pStyle w:val="NormalWeb"/>
        <w:numPr>
          <w:ilvl w:val="0"/>
          <w:numId w:val="18"/>
        </w:numPr>
        <w:rPr>
          <w:rFonts w:ascii="Arial" w:hAnsi="Arial" w:cs="Arial"/>
          <w:color w:val="002060"/>
          <w:sz w:val="18"/>
          <w:szCs w:val="18"/>
        </w:rPr>
      </w:pPr>
      <w:r w:rsidRPr="007E57F8">
        <w:rPr>
          <w:rFonts w:ascii="Arial" w:hAnsi="Arial" w:cs="Arial"/>
          <w:color w:val="002060"/>
          <w:sz w:val="18"/>
          <w:szCs w:val="18"/>
        </w:rPr>
        <w:t xml:space="preserve">For property not enrolled in PUV, data from ADFPTF closed easements will be used to determine the estimated easement purchase value. </w:t>
      </w:r>
    </w:p>
    <w:p w14:paraId="2FDFB536" w14:textId="663A1EE7" w:rsidR="007E57F8" w:rsidRDefault="007E57F8" w:rsidP="007649A8">
      <w:pPr>
        <w:pStyle w:val="NormalWeb"/>
        <w:numPr>
          <w:ilvl w:val="0"/>
          <w:numId w:val="18"/>
        </w:numPr>
        <w:rPr>
          <w:rFonts w:ascii="Arial" w:hAnsi="Arial" w:cs="Arial"/>
          <w:color w:val="002060"/>
          <w:sz w:val="18"/>
          <w:szCs w:val="18"/>
        </w:rPr>
      </w:pPr>
      <w:r w:rsidRPr="007E57F8">
        <w:rPr>
          <w:rFonts w:ascii="Arial" w:hAnsi="Arial" w:cs="Arial"/>
          <w:color w:val="002060"/>
          <w:sz w:val="18"/>
          <w:szCs w:val="18"/>
        </w:rPr>
        <w:t>Letter of Opinion or Restricted Use Report by a Qualified Appraiser with an effective date determined by the application rules.</w:t>
      </w:r>
    </w:p>
    <w:p w14:paraId="6DE2950A" w14:textId="3774EC96" w:rsidR="007E57F8" w:rsidRDefault="00723B60" w:rsidP="007649A8">
      <w:pPr>
        <w:pStyle w:val="NormalWeb"/>
        <w:rPr>
          <w:rFonts w:ascii="Arial" w:hAnsi="Arial" w:cs="Arial"/>
          <w:color w:val="002060"/>
          <w:sz w:val="18"/>
          <w:szCs w:val="18"/>
        </w:rPr>
      </w:pPr>
      <w:r w:rsidRPr="00723B60">
        <w:rPr>
          <w:rFonts w:ascii="Arial" w:hAnsi="Arial" w:cs="Arial"/>
          <w:color w:val="002060"/>
          <w:sz w:val="18"/>
          <w:szCs w:val="18"/>
        </w:rPr>
        <w:t>For appraisals submitted during the open grant contract period, a certified development rights appraisal will only be accepted and approved by the NCDA&amp;CS during the open contract period if the appraisal meets the requirements detailed in the “Appraisal Requirements and Checklist for Conservation Easement Programs” included in the grant contract award. Due to periodic updates of appraisal requirements, Grantees may use the latest version of the “Appraisal Requirements and Checklist for Conservation Easement Programs.”</w:t>
      </w:r>
    </w:p>
    <w:p w14:paraId="55DEFE8A" w14:textId="77777777" w:rsidR="00723B60" w:rsidRDefault="00723B60" w:rsidP="007649A8">
      <w:pPr>
        <w:pStyle w:val="NormalWeb"/>
        <w:rPr>
          <w:rFonts w:ascii="Arial" w:hAnsi="Arial" w:cs="Arial"/>
          <w:color w:val="002060"/>
          <w:sz w:val="18"/>
          <w:szCs w:val="18"/>
        </w:rPr>
      </w:pPr>
      <w:r w:rsidRPr="00723B60">
        <w:rPr>
          <w:rFonts w:ascii="Arial" w:hAnsi="Arial" w:cs="Arial"/>
          <w:color w:val="002060"/>
          <w:sz w:val="18"/>
          <w:szCs w:val="18"/>
        </w:rPr>
        <w:t xml:space="preserve">ADFP Trust Fund monies may not be used to pay for appraisals. However, an appraisal expense can be used as a matching grant resource.  </w:t>
      </w:r>
    </w:p>
    <w:p w14:paraId="3344CDA5" w14:textId="3D0320FB" w:rsidR="00896737" w:rsidRDefault="00723B60" w:rsidP="007649A8">
      <w:pPr>
        <w:pStyle w:val="NormalWeb"/>
        <w:rPr>
          <w:rFonts w:ascii="Arial" w:hAnsi="Arial" w:cs="Arial"/>
          <w:color w:val="002060"/>
          <w:sz w:val="18"/>
          <w:szCs w:val="18"/>
        </w:rPr>
      </w:pPr>
      <w:r w:rsidRPr="00723B60">
        <w:rPr>
          <w:rFonts w:ascii="Arial" w:hAnsi="Arial" w:cs="Arial"/>
          <w:color w:val="002060"/>
          <w:sz w:val="18"/>
          <w:szCs w:val="18"/>
        </w:rPr>
        <w:t xml:space="preserve">An appraisal will not be required when </w:t>
      </w:r>
      <w:r w:rsidR="00896737">
        <w:rPr>
          <w:rFonts w:ascii="Arial" w:hAnsi="Arial" w:cs="Arial"/>
          <w:color w:val="002060"/>
          <w:sz w:val="18"/>
          <w:szCs w:val="18"/>
        </w:rPr>
        <w:t xml:space="preserve">the </w:t>
      </w:r>
      <w:r w:rsidRPr="00723B60">
        <w:rPr>
          <w:rFonts w:ascii="Arial" w:hAnsi="Arial" w:cs="Arial"/>
          <w:color w:val="002060"/>
          <w:sz w:val="18"/>
          <w:szCs w:val="18"/>
        </w:rPr>
        <w:t xml:space="preserve">grant applicant is only awarded funds for transactional costs.  </w:t>
      </w:r>
    </w:p>
    <w:p w14:paraId="06CB36D4" w14:textId="77777777" w:rsidR="00896737" w:rsidRDefault="00723B60" w:rsidP="007649A8">
      <w:pPr>
        <w:pStyle w:val="NormalWeb"/>
        <w:rPr>
          <w:rFonts w:ascii="Arial" w:hAnsi="Arial" w:cs="Arial"/>
          <w:color w:val="002060"/>
          <w:sz w:val="18"/>
          <w:szCs w:val="18"/>
        </w:rPr>
      </w:pPr>
      <w:r w:rsidRPr="00723B60">
        <w:rPr>
          <w:rFonts w:ascii="Arial" w:hAnsi="Arial" w:cs="Arial"/>
          <w:color w:val="002060"/>
          <w:sz w:val="18"/>
          <w:szCs w:val="18"/>
        </w:rPr>
        <w:t xml:space="preserve">The ADFP Trust Fund will accept appraisals dated within one year of a scheduled closing date. </w:t>
      </w:r>
    </w:p>
    <w:p w14:paraId="748C78FF" w14:textId="77777777" w:rsidR="006850F0" w:rsidRDefault="00723B60" w:rsidP="007649A8">
      <w:pPr>
        <w:pStyle w:val="NormalWeb"/>
        <w:rPr>
          <w:rFonts w:ascii="Arial" w:hAnsi="Arial" w:cs="Arial"/>
          <w:color w:val="002060"/>
          <w:sz w:val="18"/>
          <w:szCs w:val="18"/>
        </w:rPr>
      </w:pPr>
      <w:r w:rsidRPr="00723B60">
        <w:rPr>
          <w:rFonts w:ascii="Arial" w:hAnsi="Arial" w:cs="Arial"/>
          <w:color w:val="002060"/>
          <w:sz w:val="18"/>
          <w:szCs w:val="18"/>
        </w:rPr>
        <w:t>An appraisal update may be submitted within 60 to 32 days before a potential closing date</w:t>
      </w:r>
      <w:r w:rsidR="00896737">
        <w:rPr>
          <w:rFonts w:ascii="Arial" w:hAnsi="Arial" w:cs="Arial"/>
          <w:color w:val="002060"/>
          <w:sz w:val="18"/>
          <w:szCs w:val="18"/>
        </w:rPr>
        <w:t>,</w:t>
      </w:r>
      <w:r w:rsidRPr="00723B60">
        <w:rPr>
          <w:rFonts w:ascii="Arial" w:hAnsi="Arial" w:cs="Arial"/>
          <w:color w:val="002060"/>
          <w:sz w:val="18"/>
          <w:szCs w:val="18"/>
        </w:rPr>
        <w:t xml:space="preserve"> pending the approval of all funding partners. No appraisals will be accepted 30 days before a potential closing date or end of a contract. </w:t>
      </w:r>
    </w:p>
    <w:p w14:paraId="70ED8C41" w14:textId="709FE74B" w:rsidR="007E57F8" w:rsidRPr="00BD047F" w:rsidRDefault="00BD047F" w:rsidP="00BD047F">
      <w:pPr>
        <w:pStyle w:val="NoSpacing"/>
        <w:rPr>
          <w:rFonts w:ascii="Times New Roman" w:hAnsi="Times New Roman" w:cs="Times New Roman"/>
        </w:rPr>
      </w:pPr>
      <w:r w:rsidRPr="004E3904">
        <w:rPr>
          <w:rFonts w:ascii="Arial" w:hAnsi="Arial" w:cs="Arial"/>
          <w:color w:val="002060"/>
          <w:sz w:val="18"/>
          <w:szCs w:val="18"/>
        </w:rPr>
        <w:lastRenderedPageBreak/>
        <w:t xml:space="preserve">For conservation easement projects funded in part by USDA-NRCS, if </w:t>
      </w:r>
      <w:r>
        <w:rPr>
          <w:rFonts w:ascii="Arial" w:hAnsi="Arial" w:cs="Arial"/>
          <w:color w:val="002060"/>
          <w:sz w:val="18"/>
          <w:szCs w:val="18"/>
        </w:rPr>
        <w:t>a</w:t>
      </w:r>
      <w:r w:rsidRPr="004E3904">
        <w:rPr>
          <w:rFonts w:ascii="Arial" w:hAnsi="Arial" w:cs="Arial"/>
          <w:color w:val="002060"/>
          <w:sz w:val="18"/>
          <w:szCs w:val="18"/>
        </w:rPr>
        <w:t xml:space="preserve"> technical review has been completed and the appraisal has been approved, the grantee may request, in writing, a waiver of the requirement that the appraisal be dated within one year of the scheduled closing date.</w:t>
      </w:r>
      <w:r>
        <w:rPr>
          <w:rFonts w:ascii="Arial" w:hAnsi="Arial" w:cs="Arial"/>
          <w:color w:val="002060"/>
          <w:sz w:val="18"/>
          <w:szCs w:val="18"/>
        </w:rPr>
        <w:t xml:space="preserve"> </w:t>
      </w:r>
      <w:r w:rsidR="00896737" w:rsidRPr="004152C3">
        <w:rPr>
          <w:rFonts w:ascii="Arial" w:hAnsi="Arial" w:cs="Arial"/>
          <w:i/>
          <w:iCs/>
          <w:color w:val="002060"/>
          <w:sz w:val="18"/>
          <w:szCs w:val="18"/>
        </w:rPr>
        <w:t xml:space="preserve">(Approved </w:t>
      </w:r>
      <w:r w:rsidR="00440C17">
        <w:rPr>
          <w:rFonts w:ascii="Arial" w:hAnsi="Arial" w:cs="Arial"/>
          <w:i/>
          <w:iCs/>
          <w:color w:val="002060"/>
          <w:sz w:val="18"/>
          <w:szCs w:val="18"/>
        </w:rPr>
        <w:t>12-2</w:t>
      </w:r>
      <w:r w:rsidR="004152C3" w:rsidRPr="004152C3">
        <w:rPr>
          <w:rFonts w:ascii="Arial" w:hAnsi="Arial" w:cs="Arial"/>
          <w:i/>
          <w:iCs/>
          <w:color w:val="002060"/>
          <w:sz w:val="18"/>
          <w:szCs w:val="18"/>
        </w:rPr>
        <w:t>-25)</w:t>
      </w:r>
    </w:p>
    <w:p w14:paraId="778F018C" w14:textId="1E569055" w:rsidR="00005424" w:rsidRPr="00005424" w:rsidRDefault="00C75E29" w:rsidP="00EE009D">
      <w:pPr>
        <w:pStyle w:val="NormalWeb"/>
        <w:rPr>
          <w:rFonts w:ascii="Arial" w:hAnsi="Arial" w:cs="Arial"/>
          <w:color w:val="002060"/>
          <w:sz w:val="18"/>
          <w:szCs w:val="18"/>
        </w:rPr>
      </w:pPr>
      <w:r w:rsidRPr="00CD0492">
        <w:rPr>
          <w:rStyle w:val="Strong"/>
          <w:rFonts w:ascii="Arial" w:hAnsi="Arial" w:cs="Arial"/>
          <w:color w:val="002060"/>
          <w:sz w:val="18"/>
          <w:szCs w:val="18"/>
        </w:rPr>
        <w:t xml:space="preserve">Surveys: </w:t>
      </w:r>
      <w:r w:rsidR="00005424" w:rsidRPr="00005424">
        <w:rPr>
          <w:rFonts w:ascii="Arial" w:hAnsi="Arial" w:cs="Arial"/>
          <w:color w:val="002060"/>
          <w:sz w:val="18"/>
          <w:szCs w:val="18"/>
        </w:rPr>
        <w:t xml:space="preserve">A new survey is required during the due diligence period. The survey must include clear delineation of the conservation easement boundary, identify any farmstead areas, exclusions, and other requirements as described by the Conservation Easement Survey Checklist as well as provide reliable metes and bounds description. </w:t>
      </w:r>
    </w:p>
    <w:p w14:paraId="443B6087" w14:textId="77777777" w:rsidR="00005424" w:rsidRPr="00005424" w:rsidRDefault="00005424" w:rsidP="00005424">
      <w:pPr>
        <w:pStyle w:val="NormalWeb"/>
        <w:rPr>
          <w:rFonts w:ascii="Arial" w:hAnsi="Arial" w:cs="Arial"/>
          <w:color w:val="002060"/>
          <w:sz w:val="18"/>
          <w:szCs w:val="18"/>
        </w:rPr>
      </w:pPr>
      <w:r w:rsidRPr="00005424">
        <w:rPr>
          <w:rFonts w:ascii="Arial" w:hAnsi="Arial" w:cs="Arial"/>
          <w:color w:val="002060"/>
          <w:sz w:val="18"/>
          <w:szCs w:val="18"/>
        </w:rPr>
        <w:t xml:space="preserve">The surveyor must submit GIS shapefiles of the survey, including a polygon of the conservation easement boundary. </w:t>
      </w:r>
    </w:p>
    <w:p w14:paraId="34F300DF" w14:textId="77777777" w:rsidR="00005424" w:rsidRPr="00005424" w:rsidRDefault="00005424" w:rsidP="00005424">
      <w:pPr>
        <w:pStyle w:val="NormalWeb"/>
        <w:rPr>
          <w:rFonts w:ascii="Arial" w:hAnsi="Arial" w:cs="Arial"/>
          <w:color w:val="002060"/>
          <w:sz w:val="18"/>
          <w:szCs w:val="18"/>
        </w:rPr>
      </w:pPr>
      <w:r w:rsidRPr="00005424">
        <w:rPr>
          <w:rFonts w:ascii="Arial" w:hAnsi="Arial" w:cs="Arial"/>
          <w:color w:val="002060"/>
          <w:sz w:val="18"/>
          <w:szCs w:val="18"/>
        </w:rPr>
        <w:t xml:space="preserve">If the survey identifies out-parcels within the easement, legal access directly to these parcels must also be excluded. If the identified access also serves as general access into the easement site, it may remain in the easement, or an access agreement be identified. </w:t>
      </w:r>
    </w:p>
    <w:p w14:paraId="55AE2C7C" w14:textId="6B81C68C" w:rsidR="00993245" w:rsidRPr="00CD0492" w:rsidRDefault="00005424" w:rsidP="00005424">
      <w:pPr>
        <w:pStyle w:val="NormalWeb"/>
        <w:rPr>
          <w:rStyle w:val="Emphasis"/>
          <w:rFonts w:ascii="Arial" w:hAnsi="Arial" w:cs="Arial"/>
          <w:color w:val="002060"/>
          <w:sz w:val="18"/>
          <w:szCs w:val="18"/>
        </w:rPr>
      </w:pPr>
      <w:r w:rsidRPr="00005424">
        <w:rPr>
          <w:rFonts w:ascii="Arial" w:hAnsi="Arial" w:cs="Arial"/>
          <w:color w:val="002060"/>
          <w:sz w:val="18"/>
          <w:szCs w:val="18"/>
        </w:rPr>
        <w:t>Building envelopes or partial farm easements must be surveyed or GPS-located before the easement is signed and the final grant payment is received. ADFP Trust Fund grant funding may be used to cover survey costs.</w:t>
      </w:r>
      <w:r w:rsidR="00840127" w:rsidRPr="00CD0492">
        <w:rPr>
          <w:rFonts w:ascii="Arial" w:hAnsi="Arial" w:cs="Arial"/>
          <w:color w:val="002060"/>
          <w:sz w:val="18"/>
          <w:szCs w:val="18"/>
        </w:rPr>
        <w:t xml:space="preserve"> </w:t>
      </w:r>
      <w:r w:rsidR="00C75E29" w:rsidRPr="00CD0492">
        <w:rPr>
          <w:rStyle w:val="Emphasis"/>
          <w:rFonts w:ascii="Arial" w:hAnsi="Arial" w:cs="Arial"/>
          <w:color w:val="002060"/>
          <w:sz w:val="18"/>
          <w:szCs w:val="18"/>
        </w:rPr>
        <w:t>(</w:t>
      </w:r>
      <w:r w:rsidR="00840127" w:rsidRPr="00CD0492">
        <w:rPr>
          <w:rStyle w:val="Emphasis"/>
          <w:rFonts w:ascii="Arial" w:hAnsi="Arial" w:cs="Arial"/>
          <w:color w:val="002060"/>
          <w:sz w:val="18"/>
          <w:szCs w:val="18"/>
        </w:rPr>
        <w:t xml:space="preserve">Revised </w:t>
      </w:r>
      <w:r>
        <w:rPr>
          <w:rStyle w:val="Emphasis"/>
          <w:rFonts w:ascii="Arial" w:hAnsi="Arial" w:cs="Arial"/>
          <w:color w:val="002060"/>
          <w:sz w:val="18"/>
          <w:szCs w:val="18"/>
        </w:rPr>
        <w:t>8</w:t>
      </w:r>
      <w:r w:rsidR="00C75E29" w:rsidRPr="00CD0492">
        <w:rPr>
          <w:rStyle w:val="Emphasis"/>
          <w:rFonts w:ascii="Arial" w:hAnsi="Arial" w:cs="Arial"/>
          <w:color w:val="002060"/>
          <w:sz w:val="18"/>
          <w:szCs w:val="18"/>
        </w:rPr>
        <w:t>-</w:t>
      </w:r>
      <w:r>
        <w:rPr>
          <w:rStyle w:val="Emphasis"/>
          <w:rFonts w:ascii="Arial" w:hAnsi="Arial" w:cs="Arial"/>
          <w:color w:val="002060"/>
          <w:sz w:val="18"/>
          <w:szCs w:val="18"/>
        </w:rPr>
        <w:t>23</w:t>
      </w:r>
      <w:r w:rsidR="00840127" w:rsidRPr="00CD0492">
        <w:rPr>
          <w:rStyle w:val="Emphasis"/>
          <w:rFonts w:ascii="Arial" w:hAnsi="Arial" w:cs="Arial"/>
          <w:color w:val="002060"/>
          <w:sz w:val="18"/>
          <w:szCs w:val="18"/>
        </w:rPr>
        <w:t>-</w:t>
      </w:r>
      <w:r>
        <w:rPr>
          <w:rStyle w:val="Emphasis"/>
          <w:rFonts w:ascii="Arial" w:hAnsi="Arial" w:cs="Arial"/>
          <w:color w:val="002060"/>
          <w:sz w:val="18"/>
          <w:szCs w:val="18"/>
        </w:rPr>
        <w:t>23</w:t>
      </w:r>
      <w:r w:rsidR="00C75E29" w:rsidRPr="00CD0492">
        <w:rPr>
          <w:rStyle w:val="Emphasis"/>
          <w:rFonts w:ascii="Arial" w:hAnsi="Arial" w:cs="Arial"/>
          <w:color w:val="002060"/>
          <w:sz w:val="18"/>
          <w:szCs w:val="18"/>
        </w:rPr>
        <w:t>)</w:t>
      </w:r>
    </w:p>
    <w:p w14:paraId="15ED76F4" w14:textId="77777777" w:rsidR="00C75E29" w:rsidRPr="00CD0492" w:rsidRDefault="00C75E29" w:rsidP="00C75E29">
      <w:pPr>
        <w:pStyle w:val="NormalWeb"/>
        <w:rPr>
          <w:rStyle w:val="Emphasis"/>
          <w:rFonts w:ascii="Arial" w:hAnsi="Arial" w:cs="Arial"/>
          <w:color w:val="002060"/>
          <w:sz w:val="18"/>
          <w:szCs w:val="18"/>
        </w:rPr>
      </w:pPr>
      <w:r w:rsidRPr="00CD0492">
        <w:rPr>
          <w:rStyle w:val="Strong"/>
          <w:rFonts w:ascii="Arial" w:hAnsi="Arial" w:cs="Arial"/>
          <w:color w:val="002060"/>
          <w:sz w:val="18"/>
          <w:szCs w:val="18"/>
        </w:rPr>
        <w:t xml:space="preserve">Easement Requirements: </w:t>
      </w:r>
      <w:r w:rsidRPr="00CD0492">
        <w:rPr>
          <w:rFonts w:ascii="Arial" w:hAnsi="Arial" w:cs="Arial"/>
          <w:color w:val="002060"/>
          <w:sz w:val="18"/>
          <w:szCs w:val="18"/>
        </w:rPr>
        <w:t xml:space="preserve">Applicants may require forest management and conservation plans from the grantor of the easement (landowner, farmer, etc.). Applicants may also require that the grantor of the easement (landowner, farmer, etc.) provide notice of the completion of any forestry activities. However, applicants may not require any prior notice be given before any type of harvest. </w:t>
      </w:r>
      <w:r w:rsidRPr="00CD0492">
        <w:rPr>
          <w:rStyle w:val="Emphasis"/>
          <w:rFonts w:ascii="Arial" w:hAnsi="Arial" w:cs="Arial"/>
          <w:color w:val="002060"/>
          <w:sz w:val="18"/>
          <w:szCs w:val="18"/>
        </w:rPr>
        <w:t>(Approved 09-03-08)</w:t>
      </w:r>
    </w:p>
    <w:p w14:paraId="51F92350" w14:textId="5E2DC2D9" w:rsidR="0038435C" w:rsidRPr="00CD0492" w:rsidRDefault="0038435C" w:rsidP="0038435C">
      <w:pPr>
        <w:pStyle w:val="NormalWeb"/>
        <w:rPr>
          <w:rStyle w:val="Strong"/>
          <w:rFonts w:ascii="Arial" w:hAnsi="Arial" w:cs="Arial"/>
          <w:b w:val="0"/>
          <w:i/>
          <w:color w:val="002060"/>
          <w:sz w:val="18"/>
          <w:szCs w:val="18"/>
        </w:rPr>
      </w:pPr>
      <w:r w:rsidRPr="00CD0492">
        <w:rPr>
          <w:rStyle w:val="Strong"/>
          <w:rFonts w:ascii="Arial" w:hAnsi="Arial" w:cs="Arial"/>
          <w:color w:val="002060"/>
          <w:sz w:val="18"/>
          <w:szCs w:val="18"/>
        </w:rPr>
        <w:t xml:space="preserve">Easement Grants:  </w:t>
      </w:r>
      <w:r w:rsidR="00840127" w:rsidRPr="00CD0492">
        <w:rPr>
          <w:rStyle w:val="Strong"/>
          <w:rFonts w:ascii="Arial" w:hAnsi="Arial" w:cs="Arial"/>
          <w:b w:val="0"/>
          <w:color w:val="002060"/>
          <w:sz w:val="18"/>
          <w:szCs w:val="18"/>
        </w:rPr>
        <w:t>Allowable t</w:t>
      </w:r>
      <w:r w:rsidRPr="00CD0492">
        <w:rPr>
          <w:rStyle w:val="Strong"/>
          <w:rFonts w:ascii="Arial" w:hAnsi="Arial" w:cs="Arial"/>
          <w:b w:val="0"/>
          <w:color w:val="002060"/>
          <w:sz w:val="18"/>
          <w:szCs w:val="18"/>
        </w:rPr>
        <w:t>ransaction costs may be included in grant allocation in addition to determined easement value of the land parcel.</w:t>
      </w:r>
      <w:r w:rsidR="00481530" w:rsidRPr="00CD0492">
        <w:rPr>
          <w:rStyle w:val="Strong"/>
          <w:rFonts w:ascii="Arial" w:hAnsi="Arial" w:cs="Arial"/>
          <w:b w:val="0"/>
          <w:color w:val="002060"/>
          <w:sz w:val="18"/>
          <w:szCs w:val="18"/>
        </w:rPr>
        <w:t xml:space="preserve"> The total grant allocation may not be increased above contract amount.</w:t>
      </w:r>
      <w:r w:rsidR="00840127" w:rsidRPr="00CD0492">
        <w:rPr>
          <w:rStyle w:val="Strong"/>
          <w:rFonts w:ascii="Arial" w:hAnsi="Arial" w:cs="Arial"/>
          <w:b w:val="0"/>
          <w:color w:val="002060"/>
          <w:sz w:val="18"/>
          <w:szCs w:val="18"/>
        </w:rPr>
        <w:t xml:space="preserve"> </w:t>
      </w:r>
      <w:r w:rsidR="00840127" w:rsidRPr="00CD0492">
        <w:rPr>
          <w:rStyle w:val="Strong"/>
          <w:rFonts w:ascii="Arial" w:hAnsi="Arial" w:cs="Arial"/>
          <w:b w:val="0"/>
          <w:i/>
          <w:color w:val="002060"/>
          <w:sz w:val="18"/>
          <w:szCs w:val="18"/>
        </w:rPr>
        <w:t>(Approved 12</w:t>
      </w:r>
      <w:r w:rsidR="008B517D">
        <w:rPr>
          <w:rStyle w:val="Strong"/>
          <w:rFonts w:ascii="Arial" w:hAnsi="Arial" w:cs="Arial"/>
          <w:b w:val="0"/>
          <w:i/>
          <w:color w:val="002060"/>
          <w:sz w:val="18"/>
          <w:szCs w:val="18"/>
        </w:rPr>
        <w:t>/</w:t>
      </w:r>
      <w:r w:rsidR="00840127" w:rsidRPr="00CD0492">
        <w:rPr>
          <w:rStyle w:val="Strong"/>
          <w:rFonts w:ascii="Arial" w:hAnsi="Arial" w:cs="Arial"/>
          <w:b w:val="0"/>
          <w:i/>
          <w:color w:val="002060"/>
          <w:sz w:val="18"/>
          <w:szCs w:val="18"/>
        </w:rPr>
        <w:t>09</w:t>
      </w:r>
      <w:r w:rsidR="008B517D">
        <w:rPr>
          <w:rStyle w:val="Strong"/>
          <w:rFonts w:ascii="Arial" w:hAnsi="Arial" w:cs="Arial"/>
          <w:b w:val="0"/>
          <w:i/>
          <w:color w:val="002060"/>
          <w:sz w:val="18"/>
          <w:szCs w:val="18"/>
        </w:rPr>
        <w:t>/</w:t>
      </w:r>
      <w:r w:rsidR="00840127" w:rsidRPr="00CD0492">
        <w:rPr>
          <w:rStyle w:val="Strong"/>
          <w:rFonts w:ascii="Arial" w:hAnsi="Arial" w:cs="Arial"/>
          <w:b w:val="0"/>
          <w:i/>
          <w:color w:val="002060"/>
          <w:sz w:val="18"/>
          <w:szCs w:val="18"/>
        </w:rPr>
        <w:t>08)</w:t>
      </w:r>
    </w:p>
    <w:p w14:paraId="3EB967D5" w14:textId="48040007" w:rsidR="00912BDC" w:rsidRPr="00912BDC" w:rsidRDefault="00D442B7" w:rsidP="00912BDC">
      <w:pPr>
        <w:pStyle w:val="NormalWeb"/>
        <w:rPr>
          <w:rFonts w:ascii="Arial" w:hAnsi="Arial" w:cs="Arial"/>
          <w:bCs/>
          <w:color w:val="002060"/>
          <w:sz w:val="18"/>
          <w:szCs w:val="18"/>
        </w:rPr>
      </w:pPr>
      <w:r w:rsidRPr="00CD0492">
        <w:rPr>
          <w:rFonts w:ascii="Arial" w:hAnsi="Arial" w:cs="Arial"/>
          <w:b/>
          <w:bCs/>
          <w:color w:val="002060"/>
          <w:sz w:val="18"/>
          <w:szCs w:val="18"/>
        </w:rPr>
        <w:t xml:space="preserve">Easement Purchases:  </w:t>
      </w:r>
      <w:r w:rsidR="00912BDC" w:rsidRPr="00912BDC">
        <w:rPr>
          <w:rFonts w:ascii="Arial" w:hAnsi="Arial" w:cs="Arial"/>
          <w:bCs/>
          <w:color w:val="002060"/>
          <w:sz w:val="18"/>
          <w:szCs w:val="18"/>
        </w:rPr>
        <w:t xml:space="preserve">All parcels of a proposed conservation easement application or conservation easement grant contract must be under the same ownership. Parcels under different ownership must be submitted as separate applications. Quit Claim Deeds are not accepted as proof of ownership. </w:t>
      </w:r>
    </w:p>
    <w:p w14:paraId="69D12BF2" w14:textId="77777777" w:rsidR="00912BDC" w:rsidRPr="00912BDC" w:rsidRDefault="00912BDC" w:rsidP="00912BDC">
      <w:pPr>
        <w:pStyle w:val="NormalWeb"/>
        <w:rPr>
          <w:rFonts w:ascii="Arial" w:hAnsi="Arial" w:cs="Arial"/>
          <w:bCs/>
          <w:color w:val="002060"/>
          <w:sz w:val="18"/>
          <w:szCs w:val="18"/>
        </w:rPr>
      </w:pPr>
      <w:r w:rsidRPr="00912BDC">
        <w:rPr>
          <w:rFonts w:ascii="Arial" w:hAnsi="Arial" w:cs="Arial"/>
          <w:bCs/>
          <w:color w:val="002060"/>
          <w:sz w:val="18"/>
          <w:szCs w:val="18"/>
        </w:rPr>
        <w:t xml:space="preserve">Recorded easement acreage shall have no more than a 5 percent variance less than the proposed number of acres contracted. The Grantee may request an exception to this variance with written justification to the ADFP Trust Fund. The request requires written approval of the ADFP Trust Fund. </w:t>
      </w:r>
    </w:p>
    <w:p w14:paraId="5FC72D13" w14:textId="77777777" w:rsidR="00912BDC" w:rsidRPr="00912BDC" w:rsidRDefault="00912BDC" w:rsidP="00912BDC">
      <w:pPr>
        <w:pStyle w:val="NormalWeb"/>
        <w:rPr>
          <w:rFonts w:ascii="Arial" w:hAnsi="Arial" w:cs="Arial"/>
          <w:bCs/>
          <w:color w:val="002060"/>
          <w:sz w:val="18"/>
          <w:szCs w:val="18"/>
        </w:rPr>
      </w:pPr>
      <w:r w:rsidRPr="00912BDC">
        <w:rPr>
          <w:rFonts w:ascii="Arial" w:hAnsi="Arial" w:cs="Arial"/>
          <w:bCs/>
          <w:color w:val="002060"/>
          <w:sz w:val="18"/>
          <w:szCs w:val="18"/>
        </w:rPr>
        <w:t>If the variance is greater than 5 percent of the contracted acres, the additional acreage will be approved under one of the following scenarios:</w:t>
      </w:r>
    </w:p>
    <w:p w14:paraId="77191122" w14:textId="77777777" w:rsidR="00912BDC" w:rsidRPr="00912BDC" w:rsidRDefault="00912BDC" w:rsidP="00EE3D4B">
      <w:pPr>
        <w:pStyle w:val="NormalWeb"/>
        <w:ind w:left="540" w:hanging="180"/>
        <w:rPr>
          <w:rFonts w:ascii="Arial" w:hAnsi="Arial" w:cs="Arial"/>
          <w:bCs/>
          <w:color w:val="002060"/>
          <w:sz w:val="18"/>
          <w:szCs w:val="18"/>
        </w:rPr>
      </w:pPr>
      <w:r w:rsidRPr="00912BDC">
        <w:rPr>
          <w:rFonts w:ascii="Arial" w:hAnsi="Arial" w:cs="Arial"/>
          <w:bCs/>
          <w:color w:val="002060"/>
          <w:sz w:val="18"/>
          <w:szCs w:val="18"/>
        </w:rPr>
        <w:t>1.</w:t>
      </w:r>
      <w:r w:rsidRPr="00912BDC">
        <w:rPr>
          <w:rFonts w:ascii="Arial" w:hAnsi="Arial" w:cs="Arial"/>
          <w:bCs/>
          <w:color w:val="002060"/>
          <w:sz w:val="18"/>
          <w:szCs w:val="18"/>
        </w:rPr>
        <w:tab/>
        <w:t>The additional acres are included in the original parcels, and the variance is due to the Conservation Easement Survey updates.</w:t>
      </w:r>
    </w:p>
    <w:p w14:paraId="52B9D355" w14:textId="43D4B5C6" w:rsidR="00912BDC" w:rsidRPr="00912BDC" w:rsidRDefault="00912BDC" w:rsidP="00EE3D4B">
      <w:pPr>
        <w:pStyle w:val="NormalWeb"/>
        <w:ind w:left="540" w:hanging="180"/>
        <w:rPr>
          <w:rFonts w:ascii="Arial" w:hAnsi="Arial" w:cs="Arial"/>
          <w:bCs/>
          <w:color w:val="002060"/>
          <w:sz w:val="18"/>
          <w:szCs w:val="18"/>
        </w:rPr>
      </w:pPr>
      <w:r w:rsidRPr="00912BDC">
        <w:rPr>
          <w:rFonts w:ascii="Arial" w:hAnsi="Arial" w:cs="Arial"/>
          <w:bCs/>
          <w:color w:val="002060"/>
          <w:sz w:val="18"/>
          <w:szCs w:val="18"/>
        </w:rPr>
        <w:t>2.</w:t>
      </w:r>
      <w:r w:rsidRPr="00912BDC">
        <w:rPr>
          <w:rFonts w:ascii="Arial" w:hAnsi="Arial" w:cs="Arial"/>
          <w:bCs/>
          <w:color w:val="002060"/>
          <w:sz w:val="18"/>
          <w:szCs w:val="18"/>
        </w:rPr>
        <w:tab/>
        <w:t xml:space="preserve">The additional acres are parcels or areas within the original parcels under the same ownership as the original parcels, are in working lands use, and are within, adjacent, or contiguous to the original parcels. </w:t>
      </w:r>
    </w:p>
    <w:p w14:paraId="5DCCA880" w14:textId="5E3A8061" w:rsidR="00AF75AD" w:rsidRPr="00CD0492" w:rsidRDefault="00912BDC" w:rsidP="00912BDC">
      <w:pPr>
        <w:pStyle w:val="NormalWeb"/>
        <w:rPr>
          <w:rFonts w:ascii="Arial" w:hAnsi="Arial" w:cs="Arial"/>
          <w:bCs/>
          <w:i/>
          <w:color w:val="002060"/>
          <w:sz w:val="18"/>
          <w:szCs w:val="18"/>
        </w:rPr>
      </w:pPr>
      <w:r w:rsidRPr="00912BDC">
        <w:rPr>
          <w:rFonts w:ascii="Arial" w:hAnsi="Arial" w:cs="Arial"/>
          <w:bCs/>
          <w:color w:val="002060"/>
          <w:sz w:val="18"/>
          <w:szCs w:val="18"/>
        </w:rPr>
        <w:t>If the variance is greater than 5 percent of the contracted acres and is less than the contracted acres, the grant funds for conservation easement purchase will be reduced proportionally based on the new acreage.</w:t>
      </w:r>
      <w:r w:rsidR="00D442B7" w:rsidRPr="00CD0492">
        <w:rPr>
          <w:rFonts w:ascii="Arial" w:hAnsi="Arial" w:cs="Arial"/>
          <w:b/>
          <w:bCs/>
          <w:color w:val="002060"/>
          <w:sz w:val="18"/>
          <w:szCs w:val="18"/>
        </w:rPr>
        <w:t xml:space="preserve">  </w:t>
      </w:r>
      <w:r w:rsidR="00D43893" w:rsidRPr="00CD0492">
        <w:rPr>
          <w:rFonts w:ascii="Arial" w:hAnsi="Arial" w:cs="Arial"/>
          <w:bCs/>
          <w:color w:val="002060"/>
          <w:sz w:val="18"/>
          <w:szCs w:val="18"/>
        </w:rPr>
        <w:t>(</w:t>
      </w:r>
      <w:r w:rsidR="00D43893" w:rsidRPr="00CD0492">
        <w:rPr>
          <w:rFonts w:ascii="Arial" w:hAnsi="Arial" w:cs="Arial"/>
          <w:bCs/>
          <w:i/>
          <w:color w:val="002060"/>
          <w:sz w:val="18"/>
          <w:szCs w:val="18"/>
        </w:rPr>
        <w:t xml:space="preserve">Approved </w:t>
      </w:r>
      <w:r w:rsidR="007574FF">
        <w:rPr>
          <w:rFonts w:ascii="Arial" w:hAnsi="Arial" w:cs="Arial"/>
          <w:bCs/>
          <w:i/>
          <w:color w:val="002060"/>
          <w:sz w:val="18"/>
          <w:szCs w:val="18"/>
        </w:rPr>
        <w:t>8</w:t>
      </w:r>
      <w:r w:rsidR="00D442B7" w:rsidRPr="00CD0492">
        <w:rPr>
          <w:rFonts w:ascii="Arial" w:hAnsi="Arial" w:cs="Arial"/>
          <w:bCs/>
          <w:i/>
          <w:color w:val="002060"/>
          <w:sz w:val="18"/>
          <w:szCs w:val="18"/>
        </w:rPr>
        <w:t>/</w:t>
      </w:r>
      <w:r w:rsidR="007574FF">
        <w:rPr>
          <w:rFonts w:ascii="Arial" w:hAnsi="Arial" w:cs="Arial"/>
          <w:bCs/>
          <w:i/>
          <w:color w:val="002060"/>
          <w:sz w:val="18"/>
          <w:szCs w:val="18"/>
        </w:rPr>
        <w:t>23</w:t>
      </w:r>
      <w:r w:rsidR="00D442B7" w:rsidRPr="00CD0492">
        <w:rPr>
          <w:rFonts w:ascii="Arial" w:hAnsi="Arial" w:cs="Arial"/>
          <w:bCs/>
          <w:i/>
          <w:color w:val="002060"/>
          <w:sz w:val="18"/>
          <w:szCs w:val="18"/>
        </w:rPr>
        <w:t>/20</w:t>
      </w:r>
      <w:r w:rsidR="007574FF">
        <w:rPr>
          <w:rFonts w:ascii="Arial" w:hAnsi="Arial" w:cs="Arial"/>
          <w:bCs/>
          <w:i/>
          <w:color w:val="002060"/>
          <w:sz w:val="18"/>
          <w:szCs w:val="18"/>
        </w:rPr>
        <w:t>23</w:t>
      </w:r>
      <w:r w:rsidR="00D43893" w:rsidRPr="00CD0492">
        <w:rPr>
          <w:rFonts w:ascii="Arial" w:hAnsi="Arial" w:cs="Arial"/>
          <w:bCs/>
          <w:i/>
          <w:color w:val="002060"/>
          <w:sz w:val="18"/>
          <w:szCs w:val="18"/>
        </w:rPr>
        <w:t>)</w:t>
      </w:r>
    </w:p>
    <w:p w14:paraId="0F691AAF" w14:textId="77777777" w:rsidR="00D442B7" w:rsidRPr="00CD0492" w:rsidRDefault="00D442B7" w:rsidP="00D442B7">
      <w:pPr>
        <w:pStyle w:val="NormalWeb"/>
        <w:rPr>
          <w:rStyle w:val="Emphasis"/>
          <w:rFonts w:ascii="Arial" w:hAnsi="Arial" w:cs="Arial"/>
          <w:b/>
          <w:i w:val="0"/>
          <w:color w:val="002060"/>
          <w:sz w:val="18"/>
          <w:szCs w:val="18"/>
        </w:rPr>
      </w:pPr>
      <w:r w:rsidRPr="00CD0492">
        <w:rPr>
          <w:rFonts w:ascii="Arial" w:hAnsi="Arial" w:cs="Arial"/>
          <w:b/>
          <w:bCs/>
          <w:iCs/>
          <w:color w:val="002060"/>
          <w:sz w:val="18"/>
          <w:szCs w:val="18"/>
        </w:rPr>
        <w:t>Easement Contracted Purchase Exceptions</w:t>
      </w:r>
      <w:r w:rsidRPr="00CD0492">
        <w:rPr>
          <w:rFonts w:ascii="Arial" w:hAnsi="Arial" w:cs="Arial"/>
          <w:bCs/>
          <w:iCs/>
          <w:color w:val="002060"/>
          <w:sz w:val="18"/>
          <w:szCs w:val="18"/>
        </w:rPr>
        <w:t xml:space="preserve">: </w:t>
      </w:r>
      <w:r w:rsidRPr="00CD0492">
        <w:rPr>
          <w:rFonts w:ascii="Arial" w:hAnsi="Arial" w:cs="Arial"/>
          <w:iCs/>
          <w:color w:val="002060"/>
          <w:sz w:val="18"/>
          <w:szCs w:val="18"/>
        </w:rPr>
        <w:t>The ADFP Trust Fund may grant an exception to the share of the funds provided that matching resources for easement purchase or donation of value is 50% or greater.  If proposed matching resources for easement purchase are not provided or reduced, the contracted easement acres may be reduced equivalently to the reduction of proposed matching resources.</w:t>
      </w:r>
      <w:r w:rsidRPr="00CD0492">
        <w:rPr>
          <w:rFonts w:ascii="Arial" w:hAnsi="Arial" w:cs="Arial"/>
          <w:bCs/>
          <w:color w:val="002060"/>
          <w:sz w:val="18"/>
          <w:szCs w:val="18"/>
        </w:rPr>
        <w:t xml:space="preserve"> (</w:t>
      </w:r>
      <w:r w:rsidRPr="00CD0492">
        <w:rPr>
          <w:rFonts w:ascii="Arial" w:hAnsi="Arial" w:cs="Arial"/>
          <w:bCs/>
          <w:i/>
          <w:color w:val="002060"/>
          <w:sz w:val="18"/>
          <w:szCs w:val="18"/>
        </w:rPr>
        <w:t>Approved 5/12/2015)</w:t>
      </w:r>
    </w:p>
    <w:p w14:paraId="4E31596E" w14:textId="7EA129EC" w:rsidR="00E71DD8" w:rsidRPr="00CD0492" w:rsidRDefault="00E71DD8" w:rsidP="00C75E29">
      <w:pPr>
        <w:pStyle w:val="NormalWeb"/>
        <w:rPr>
          <w:rStyle w:val="Emphasis"/>
          <w:rFonts w:ascii="Arial" w:hAnsi="Arial" w:cs="Arial"/>
          <w:i w:val="0"/>
          <w:color w:val="002060"/>
          <w:sz w:val="18"/>
          <w:szCs w:val="18"/>
        </w:rPr>
      </w:pPr>
      <w:r w:rsidRPr="00CD0492">
        <w:rPr>
          <w:rStyle w:val="Emphasis"/>
          <w:rFonts w:ascii="Arial" w:hAnsi="Arial" w:cs="Arial"/>
          <w:b/>
          <w:i w:val="0"/>
          <w:color w:val="002060"/>
          <w:sz w:val="18"/>
          <w:szCs w:val="18"/>
        </w:rPr>
        <w:t xml:space="preserve">Baseline Documentation: </w:t>
      </w:r>
      <w:r w:rsidR="001A2D65" w:rsidRPr="001A2D65">
        <w:rPr>
          <w:rStyle w:val="Emphasis"/>
          <w:rFonts w:ascii="Arial" w:hAnsi="Arial" w:cs="Arial"/>
          <w:i w:val="0"/>
          <w:color w:val="002060"/>
          <w:sz w:val="18"/>
          <w:szCs w:val="18"/>
        </w:rPr>
        <w:t>The baseline documentation report (BDR) must contain all the information required in the BDR checklist document. After initial approval of the document by ADFP Trust Fund staff, the Grantee will submit the final version with a landowner acknowledgment and signature page at the time of closing check request.</w:t>
      </w:r>
      <w:r w:rsidR="00BC7AF7" w:rsidRPr="00CD0492">
        <w:rPr>
          <w:rStyle w:val="Emphasis"/>
          <w:rFonts w:ascii="Arial" w:hAnsi="Arial" w:cs="Arial"/>
          <w:i w:val="0"/>
          <w:color w:val="002060"/>
          <w:sz w:val="18"/>
          <w:szCs w:val="18"/>
        </w:rPr>
        <w:t xml:space="preserve"> </w:t>
      </w:r>
      <w:r w:rsidR="00840127" w:rsidRPr="00CD0492">
        <w:rPr>
          <w:rStyle w:val="Strong"/>
          <w:rFonts w:ascii="Arial" w:hAnsi="Arial" w:cs="Arial"/>
          <w:b w:val="0"/>
          <w:i/>
          <w:color w:val="002060"/>
          <w:sz w:val="18"/>
          <w:szCs w:val="18"/>
        </w:rPr>
        <w:t xml:space="preserve">(Approved </w:t>
      </w:r>
      <w:r w:rsidR="001A2D65">
        <w:rPr>
          <w:rStyle w:val="Strong"/>
          <w:rFonts w:ascii="Arial" w:hAnsi="Arial" w:cs="Arial"/>
          <w:b w:val="0"/>
          <w:i/>
          <w:color w:val="002060"/>
          <w:sz w:val="18"/>
          <w:szCs w:val="18"/>
        </w:rPr>
        <w:t>8</w:t>
      </w:r>
      <w:r w:rsidR="00840127" w:rsidRPr="00CD0492">
        <w:rPr>
          <w:rStyle w:val="Strong"/>
          <w:rFonts w:ascii="Arial" w:hAnsi="Arial" w:cs="Arial"/>
          <w:b w:val="0"/>
          <w:i/>
          <w:color w:val="002060"/>
          <w:sz w:val="18"/>
          <w:szCs w:val="18"/>
        </w:rPr>
        <w:t>-</w:t>
      </w:r>
      <w:r w:rsidR="001A2D65">
        <w:rPr>
          <w:rStyle w:val="Strong"/>
          <w:rFonts w:ascii="Arial" w:hAnsi="Arial" w:cs="Arial"/>
          <w:b w:val="0"/>
          <w:i/>
          <w:color w:val="002060"/>
          <w:sz w:val="18"/>
          <w:szCs w:val="18"/>
        </w:rPr>
        <w:t>23</w:t>
      </w:r>
      <w:r w:rsidR="00840127" w:rsidRPr="00CD0492">
        <w:rPr>
          <w:rStyle w:val="Strong"/>
          <w:rFonts w:ascii="Arial" w:hAnsi="Arial" w:cs="Arial"/>
          <w:b w:val="0"/>
          <w:i/>
          <w:color w:val="002060"/>
          <w:sz w:val="18"/>
          <w:szCs w:val="18"/>
        </w:rPr>
        <w:t>-</w:t>
      </w:r>
      <w:r w:rsidR="001A2D65">
        <w:rPr>
          <w:rStyle w:val="Strong"/>
          <w:rFonts w:ascii="Arial" w:hAnsi="Arial" w:cs="Arial"/>
          <w:b w:val="0"/>
          <w:i/>
          <w:color w:val="002060"/>
          <w:sz w:val="18"/>
          <w:szCs w:val="18"/>
        </w:rPr>
        <w:t>23</w:t>
      </w:r>
      <w:r w:rsidR="00840127" w:rsidRPr="00CD0492">
        <w:rPr>
          <w:rStyle w:val="Strong"/>
          <w:rFonts w:ascii="Arial" w:hAnsi="Arial" w:cs="Arial"/>
          <w:b w:val="0"/>
          <w:i/>
          <w:color w:val="002060"/>
          <w:sz w:val="18"/>
          <w:szCs w:val="18"/>
        </w:rPr>
        <w:t>)</w:t>
      </w:r>
    </w:p>
    <w:p w14:paraId="48DDDD1D" w14:textId="77777777" w:rsidR="00A65E98" w:rsidRPr="00A65E98" w:rsidRDefault="00797206" w:rsidP="00A65E98">
      <w:pPr>
        <w:pStyle w:val="NormalWeb"/>
        <w:rPr>
          <w:rStyle w:val="Emphasis"/>
          <w:rFonts w:ascii="Arial" w:hAnsi="Arial" w:cs="Arial"/>
          <w:i w:val="0"/>
          <w:color w:val="002060"/>
          <w:sz w:val="18"/>
          <w:szCs w:val="18"/>
        </w:rPr>
      </w:pPr>
      <w:r w:rsidRPr="00CD0492">
        <w:rPr>
          <w:rStyle w:val="Emphasis"/>
          <w:rFonts w:ascii="Arial" w:hAnsi="Arial" w:cs="Arial"/>
          <w:b/>
          <w:i w:val="0"/>
          <w:color w:val="002060"/>
          <w:sz w:val="18"/>
          <w:szCs w:val="18"/>
        </w:rPr>
        <w:lastRenderedPageBreak/>
        <w:t>Environmental Audit</w:t>
      </w:r>
      <w:r w:rsidR="00E71DD8" w:rsidRPr="00CD0492">
        <w:rPr>
          <w:rStyle w:val="Emphasis"/>
          <w:rFonts w:ascii="Arial" w:hAnsi="Arial" w:cs="Arial"/>
          <w:b/>
          <w:i w:val="0"/>
          <w:color w:val="002060"/>
          <w:sz w:val="18"/>
          <w:szCs w:val="18"/>
        </w:rPr>
        <w:t xml:space="preserve">: </w:t>
      </w:r>
      <w:r w:rsidR="00A65E98" w:rsidRPr="00A65E98">
        <w:rPr>
          <w:rStyle w:val="Emphasis"/>
          <w:rFonts w:ascii="Arial" w:hAnsi="Arial" w:cs="Arial"/>
          <w:i w:val="0"/>
          <w:color w:val="002060"/>
          <w:sz w:val="18"/>
          <w:szCs w:val="18"/>
        </w:rPr>
        <w:t xml:space="preserve">All easements are required to conduct either a Phase I Environmental Site Assessment or complete the NRCS Hazardous Materials Checklist and Landowner Interview or equivalent. This must be completed and submitted with the easement parcel ID suite of due diligence. </w:t>
      </w:r>
    </w:p>
    <w:p w14:paraId="02789035" w14:textId="77777777" w:rsidR="00A65E98" w:rsidRPr="00A65E98" w:rsidRDefault="00A65E98" w:rsidP="00A65E98">
      <w:pPr>
        <w:pStyle w:val="NormalWeb"/>
        <w:rPr>
          <w:rStyle w:val="Emphasis"/>
          <w:rFonts w:ascii="Arial" w:hAnsi="Arial" w:cs="Arial"/>
          <w:i w:val="0"/>
          <w:color w:val="002060"/>
          <w:sz w:val="18"/>
          <w:szCs w:val="18"/>
        </w:rPr>
      </w:pPr>
      <w:r w:rsidRPr="00A65E98">
        <w:rPr>
          <w:rStyle w:val="Emphasis"/>
          <w:rFonts w:ascii="Arial" w:hAnsi="Arial" w:cs="Arial"/>
          <w:i w:val="0"/>
          <w:color w:val="002060"/>
          <w:sz w:val="18"/>
          <w:szCs w:val="18"/>
        </w:rPr>
        <w:t>If the on-site inspection identifies environmental conditions that negatively impact the property, such as the presence of petroleum products or hazardous substances in the subsurface of the site, and these findings necessitate further investigation of environmental conditions with a Phase II ESA or equivalent, the Grantee is required to conduct these assessments through a qualified environmental firm.</w:t>
      </w:r>
    </w:p>
    <w:p w14:paraId="5640B118" w14:textId="6640FF98" w:rsidR="00E71DD8" w:rsidRPr="00CD0492" w:rsidRDefault="00A65E98" w:rsidP="00A65E98">
      <w:pPr>
        <w:pStyle w:val="NormalWeb"/>
        <w:rPr>
          <w:rStyle w:val="Emphasis"/>
          <w:rFonts w:ascii="Arial" w:hAnsi="Arial" w:cs="Arial"/>
          <w:i w:val="0"/>
          <w:color w:val="002060"/>
          <w:sz w:val="18"/>
          <w:szCs w:val="18"/>
        </w:rPr>
      </w:pPr>
      <w:r w:rsidRPr="00A65E98">
        <w:rPr>
          <w:rStyle w:val="Emphasis"/>
          <w:rFonts w:ascii="Arial" w:hAnsi="Arial" w:cs="Arial"/>
          <w:i w:val="0"/>
          <w:color w:val="002060"/>
          <w:sz w:val="18"/>
          <w:szCs w:val="18"/>
        </w:rPr>
        <w:t>If the EA or ESA includes required remediation to resolve environmental concerns, the Grantee must complete all required remedies in the EA or ESA and are encouraged to complete all recommended remedies. All required remedies must be completed before the recording of the conservation easement. The conservation easement project will be canceled if the remediation requests identified therein are not completed.</w:t>
      </w:r>
      <w:r w:rsidR="00070EDF" w:rsidRPr="00CD0492">
        <w:rPr>
          <w:rStyle w:val="Emphasis"/>
          <w:rFonts w:ascii="Arial" w:hAnsi="Arial" w:cs="Arial"/>
          <w:i w:val="0"/>
          <w:color w:val="002060"/>
          <w:sz w:val="18"/>
          <w:szCs w:val="18"/>
        </w:rPr>
        <w:t xml:space="preserve"> </w:t>
      </w:r>
      <w:r w:rsidR="00840127" w:rsidRPr="00CD0492">
        <w:rPr>
          <w:rStyle w:val="Strong"/>
          <w:rFonts w:ascii="Arial" w:hAnsi="Arial" w:cs="Arial"/>
          <w:b w:val="0"/>
          <w:i/>
          <w:color w:val="002060"/>
          <w:sz w:val="18"/>
          <w:szCs w:val="18"/>
        </w:rPr>
        <w:t xml:space="preserve">(Approved </w:t>
      </w:r>
      <w:r w:rsidR="007D22FB">
        <w:rPr>
          <w:rStyle w:val="Strong"/>
          <w:rFonts w:ascii="Arial" w:hAnsi="Arial" w:cs="Arial"/>
          <w:b w:val="0"/>
          <w:i/>
          <w:color w:val="002060"/>
          <w:sz w:val="18"/>
          <w:szCs w:val="18"/>
        </w:rPr>
        <w:t>8</w:t>
      </w:r>
      <w:r w:rsidR="00840127" w:rsidRPr="00CD0492">
        <w:rPr>
          <w:rStyle w:val="Strong"/>
          <w:rFonts w:ascii="Arial" w:hAnsi="Arial" w:cs="Arial"/>
          <w:b w:val="0"/>
          <w:i/>
          <w:color w:val="002060"/>
          <w:sz w:val="18"/>
          <w:szCs w:val="18"/>
        </w:rPr>
        <w:t>-</w:t>
      </w:r>
      <w:r w:rsidR="007D22FB">
        <w:rPr>
          <w:rStyle w:val="Strong"/>
          <w:rFonts w:ascii="Arial" w:hAnsi="Arial" w:cs="Arial"/>
          <w:b w:val="0"/>
          <w:i/>
          <w:color w:val="002060"/>
          <w:sz w:val="18"/>
          <w:szCs w:val="18"/>
        </w:rPr>
        <w:t>23</w:t>
      </w:r>
      <w:r w:rsidR="00840127" w:rsidRPr="00CD0492">
        <w:rPr>
          <w:rStyle w:val="Strong"/>
          <w:rFonts w:ascii="Arial" w:hAnsi="Arial" w:cs="Arial"/>
          <w:b w:val="0"/>
          <w:i/>
          <w:color w:val="002060"/>
          <w:sz w:val="18"/>
          <w:szCs w:val="18"/>
        </w:rPr>
        <w:t>-</w:t>
      </w:r>
      <w:r w:rsidR="007D22FB">
        <w:rPr>
          <w:rStyle w:val="Strong"/>
          <w:rFonts w:ascii="Arial" w:hAnsi="Arial" w:cs="Arial"/>
          <w:b w:val="0"/>
          <w:i/>
          <w:color w:val="002060"/>
          <w:sz w:val="18"/>
          <w:szCs w:val="18"/>
        </w:rPr>
        <w:t>23</w:t>
      </w:r>
      <w:r w:rsidR="00840127" w:rsidRPr="00CD0492">
        <w:rPr>
          <w:rStyle w:val="Strong"/>
          <w:rFonts w:ascii="Arial" w:hAnsi="Arial" w:cs="Arial"/>
          <w:b w:val="0"/>
          <w:i/>
          <w:color w:val="002060"/>
          <w:sz w:val="18"/>
          <w:szCs w:val="18"/>
        </w:rPr>
        <w:t>)</w:t>
      </w:r>
    </w:p>
    <w:p w14:paraId="0AD6C149" w14:textId="77777777" w:rsidR="003F1E35" w:rsidRPr="00CD0492" w:rsidRDefault="00FB25C8" w:rsidP="00C75E29">
      <w:pPr>
        <w:pStyle w:val="NormalWeb"/>
        <w:rPr>
          <w:rStyle w:val="Emphasis"/>
          <w:rFonts w:ascii="Arial" w:hAnsi="Arial" w:cs="Arial"/>
          <w:i w:val="0"/>
          <w:color w:val="002060"/>
          <w:sz w:val="18"/>
          <w:szCs w:val="18"/>
        </w:rPr>
      </w:pPr>
      <w:r w:rsidRPr="00CD0492">
        <w:rPr>
          <w:rStyle w:val="Emphasis"/>
          <w:rFonts w:ascii="Arial" w:hAnsi="Arial" w:cs="Arial"/>
          <w:b/>
          <w:i w:val="0"/>
          <w:color w:val="002060"/>
          <w:sz w:val="18"/>
          <w:szCs w:val="18"/>
        </w:rPr>
        <w:t xml:space="preserve">Building envelopes:  </w:t>
      </w:r>
      <w:r w:rsidRPr="00CD0492">
        <w:rPr>
          <w:rStyle w:val="Emphasis"/>
          <w:rFonts w:ascii="Arial" w:hAnsi="Arial" w:cs="Arial"/>
          <w:i w:val="0"/>
          <w:color w:val="002060"/>
          <w:sz w:val="18"/>
          <w:szCs w:val="18"/>
        </w:rPr>
        <w:t xml:space="preserve">Up to 3 building lots may be designated per easement.  All lots must be clearly defined by a </w:t>
      </w:r>
      <w:r w:rsidR="0019138A" w:rsidRPr="00CD0492">
        <w:rPr>
          <w:rStyle w:val="Emphasis"/>
          <w:rFonts w:ascii="Arial" w:hAnsi="Arial" w:cs="Arial"/>
          <w:i w:val="0"/>
          <w:color w:val="002060"/>
          <w:sz w:val="18"/>
          <w:szCs w:val="18"/>
        </w:rPr>
        <w:t xml:space="preserve">survey and </w:t>
      </w:r>
      <w:r w:rsidRPr="00CD0492">
        <w:rPr>
          <w:rStyle w:val="Emphasis"/>
          <w:rFonts w:ascii="Arial" w:hAnsi="Arial" w:cs="Arial"/>
          <w:i w:val="0"/>
          <w:color w:val="002060"/>
          <w:sz w:val="18"/>
          <w:szCs w:val="18"/>
        </w:rPr>
        <w:t xml:space="preserve">properly described in the easement language and recorded </w:t>
      </w:r>
      <w:r w:rsidR="0019138A" w:rsidRPr="00CD0492">
        <w:rPr>
          <w:rStyle w:val="Emphasis"/>
          <w:rFonts w:ascii="Arial" w:hAnsi="Arial" w:cs="Arial"/>
          <w:i w:val="0"/>
          <w:color w:val="002060"/>
          <w:sz w:val="18"/>
          <w:szCs w:val="18"/>
        </w:rPr>
        <w:t>with the County</w:t>
      </w:r>
      <w:r w:rsidRPr="00CD0492">
        <w:rPr>
          <w:rStyle w:val="Emphasis"/>
          <w:rFonts w:ascii="Arial" w:hAnsi="Arial" w:cs="Arial"/>
          <w:i w:val="0"/>
          <w:color w:val="002060"/>
          <w:sz w:val="18"/>
          <w:szCs w:val="18"/>
        </w:rPr>
        <w:t xml:space="preserve"> Register of Deeds.  Lots may not compromise the conservation value of the property or restrict the </w:t>
      </w:r>
      <w:r w:rsidR="00840127" w:rsidRPr="00CD0492">
        <w:rPr>
          <w:rStyle w:val="Emphasis"/>
          <w:rFonts w:ascii="Arial" w:hAnsi="Arial" w:cs="Arial"/>
          <w:i w:val="0"/>
          <w:color w:val="002060"/>
          <w:sz w:val="18"/>
          <w:szCs w:val="18"/>
        </w:rPr>
        <w:t xml:space="preserve">agricultural </w:t>
      </w:r>
      <w:r w:rsidRPr="00CD0492">
        <w:rPr>
          <w:rStyle w:val="Emphasis"/>
          <w:rFonts w:ascii="Arial" w:hAnsi="Arial" w:cs="Arial"/>
          <w:i w:val="0"/>
          <w:color w:val="002060"/>
          <w:sz w:val="18"/>
          <w:szCs w:val="18"/>
        </w:rPr>
        <w:t xml:space="preserve">production of </w:t>
      </w:r>
      <w:r w:rsidR="00840127" w:rsidRPr="00CD0492">
        <w:rPr>
          <w:rStyle w:val="Emphasis"/>
          <w:rFonts w:ascii="Arial" w:hAnsi="Arial" w:cs="Arial"/>
          <w:i w:val="0"/>
          <w:color w:val="002060"/>
          <w:sz w:val="18"/>
          <w:szCs w:val="18"/>
        </w:rPr>
        <w:t xml:space="preserve">agricultural </w:t>
      </w:r>
      <w:r w:rsidRPr="00CD0492">
        <w:rPr>
          <w:rStyle w:val="Emphasis"/>
          <w:rFonts w:ascii="Arial" w:hAnsi="Arial" w:cs="Arial"/>
          <w:i w:val="0"/>
          <w:color w:val="002060"/>
          <w:sz w:val="18"/>
          <w:szCs w:val="18"/>
        </w:rPr>
        <w:t xml:space="preserve">crops, horticulture or forestry production </w:t>
      </w:r>
      <w:r w:rsidR="003F1E35" w:rsidRPr="00CD0492">
        <w:rPr>
          <w:rStyle w:val="Emphasis"/>
          <w:rFonts w:ascii="Arial" w:hAnsi="Arial" w:cs="Arial"/>
          <w:i w:val="0"/>
          <w:color w:val="002060"/>
          <w:sz w:val="18"/>
          <w:szCs w:val="18"/>
        </w:rPr>
        <w:t xml:space="preserve">on the </w:t>
      </w:r>
      <w:r w:rsidRPr="00CD0492">
        <w:rPr>
          <w:rStyle w:val="Emphasis"/>
          <w:rFonts w:ascii="Arial" w:hAnsi="Arial" w:cs="Arial"/>
          <w:i w:val="0"/>
          <w:color w:val="002060"/>
          <w:sz w:val="18"/>
          <w:szCs w:val="18"/>
        </w:rPr>
        <w:t xml:space="preserve">parcel of land being considered for an agricultural easement.  Building envelopes must comply </w:t>
      </w:r>
      <w:r w:rsidR="003F1E35" w:rsidRPr="00CD0492">
        <w:rPr>
          <w:rStyle w:val="Emphasis"/>
          <w:rFonts w:ascii="Arial" w:hAnsi="Arial" w:cs="Arial"/>
          <w:i w:val="0"/>
          <w:color w:val="002060"/>
          <w:sz w:val="18"/>
          <w:szCs w:val="18"/>
        </w:rPr>
        <w:t xml:space="preserve">with all county zoning regulations and </w:t>
      </w:r>
      <w:r w:rsidR="00993953" w:rsidRPr="00CD0492">
        <w:rPr>
          <w:rStyle w:val="Emphasis"/>
          <w:rFonts w:ascii="Arial" w:hAnsi="Arial" w:cs="Arial"/>
          <w:i w:val="0"/>
          <w:color w:val="002060"/>
          <w:sz w:val="18"/>
          <w:szCs w:val="18"/>
        </w:rPr>
        <w:t xml:space="preserve">be </w:t>
      </w:r>
      <w:r w:rsidR="003F1E35" w:rsidRPr="00CD0492">
        <w:rPr>
          <w:rStyle w:val="Emphasis"/>
          <w:rFonts w:ascii="Arial" w:hAnsi="Arial" w:cs="Arial"/>
          <w:i w:val="0"/>
          <w:color w:val="002060"/>
          <w:sz w:val="18"/>
          <w:szCs w:val="18"/>
        </w:rPr>
        <w:t>limited to only one housing unit.</w:t>
      </w:r>
      <w:r w:rsidR="00611E1C" w:rsidRPr="00CD0492">
        <w:rPr>
          <w:rStyle w:val="Emphasis"/>
          <w:rFonts w:ascii="Arial" w:hAnsi="Arial" w:cs="Arial"/>
          <w:i w:val="0"/>
          <w:color w:val="002060"/>
          <w:sz w:val="18"/>
          <w:szCs w:val="18"/>
        </w:rPr>
        <w:t xml:space="preserve"> </w:t>
      </w:r>
      <w:r w:rsidR="00840127" w:rsidRPr="00CD0492">
        <w:rPr>
          <w:rStyle w:val="Strong"/>
          <w:rFonts w:ascii="Arial" w:hAnsi="Arial" w:cs="Arial"/>
          <w:b w:val="0"/>
          <w:i/>
          <w:color w:val="002060"/>
          <w:sz w:val="18"/>
          <w:szCs w:val="18"/>
        </w:rPr>
        <w:t>(Approved 12-09-08)</w:t>
      </w:r>
    </w:p>
    <w:p w14:paraId="6BC1BFA5" w14:textId="1386587C" w:rsidR="00FB25C8" w:rsidRDefault="003F1E35" w:rsidP="00C75E29">
      <w:pPr>
        <w:pStyle w:val="NormalWeb"/>
        <w:rPr>
          <w:rStyle w:val="Strong"/>
          <w:rFonts w:ascii="Arial" w:hAnsi="Arial" w:cs="Arial"/>
          <w:b w:val="0"/>
          <w:i/>
          <w:color w:val="002060"/>
          <w:sz w:val="18"/>
          <w:szCs w:val="18"/>
        </w:rPr>
      </w:pPr>
      <w:r w:rsidRPr="00CD0492">
        <w:rPr>
          <w:rStyle w:val="Emphasis"/>
          <w:rFonts w:ascii="Arial" w:hAnsi="Arial" w:cs="Arial"/>
          <w:b/>
          <w:i w:val="0"/>
          <w:color w:val="002060"/>
          <w:sz w:val="18"/>
          <w:szCs w:val="18"/>
        </w:rPr>
        <w:t xml:space="preserve">Farmstead Area Designations: </w:t>
      </w:r>
      <w:r w:rsidRPr="00CD0492">
        <w:rPr>
          <w:rStyle w:val="Emphasis"/>
          <w:rFonts w:ascii="Arial" w:hAnsi="Arial" w:cs="Arial"/>
          <w:i w:val="0"/>
          <w:color w:val="002060"/>
          <w:sz w:val="18"/>
          <w:szCs w:val="18"/>
        </w:rPr>
        <w:t xml:space="preserve">Agricultural conservation easements may allow for one or more </w:t>
      </w:r>
      <w:r w:rsidR="00FB7EBE" w:rsidRPr="00CD0492">
        <w:rPr>
          <w:rStyle w:val="Emphasis"/>
          <w:rFonts w:ascii="Arial" w:hAnsi="Arial" w:cs="Arial"/>
          <w:i w:val="0"/>
          <w:color w:val="002060"/>
          <w:sz w:val="18"/>
          <w:szCs w:val="18"/>
        </w:rPr>
        <w:t>"</w:t>
      </w:r>
      <w:r w:rsidRPr="00CD0492">
        <w:rPr>
          <w:rStyle w:val="Emphasis"/>
          <w:rFonts w:ascii="Arial" w:hAnsi="Arial" w:cs="Arial"/>
          <w:i w:val="0"/>
          <w:color w:val="002060"/>
          <w:sz w:val="18"/>
          <w:szCs w:val="18"/>
        </w:rPr>
        <w:t>Farmstead Areas</w:t>
      </w:r>
      <w:r w:rsidR="00FB7EBE" w:rsidRPr="00CD0492">
        <w:rPr>
          <w:rStyle w:val="Emphasis"/>
          <w:rFonts w:ascii="Arial" w:hAnsi="Arial" w:cs="Arial"/>
          <w:i w:val="0"/>
          <w:color w:val="002060"/>
          <w:sz w:val="18"/>
          <w:szCs w:val="18"/>
        </w:rPr>
        <w:t>"</w:t>
      </w:r>
      <w:r w:rsidRPr="00CD0492">
        <w:rPr>
          <w:rStyle w:val="Emphasis"/>
          <w:rFonts w:ascii="Arial" w:hAnsi="Arial" w:cs="Arial"/>
          <w:i w:val="0"/>
          <w:color w:val="002060"/>
          <w:sz w:val="18"/>
          <w:szCs w:val="18"/>
        </w:rPr>
        <w:t xml:space="preserve">.  A </w:t>
      </w:r>
      <w:r w:rsidR="00FB7EBE" w:rsidRPr="00CD0492">
        <w:rPr>
          <w:rStyle w:val="Emphasis"/>
          <w:rFonts w:ascii="Arial" w:hAnsi="Arial" w:cs="Arial"/>
          <w:i w:val="0"/>
          <w:color w:val="002060"/>
          <w:sz w:val="18"/>
          <w:szCs w:val="18"/>
        </w:rPr>
        <w:t>"</w:t>
      </w:r>
      <w:r w:rsidRPr="00CD0492">
        <w:rPr>
          <w:rStyle w:val="Emphasis"/>
          <w:rFonts w:ascii="Arial" w:hAnsi="Arial" w:cs="Arial"/>
          <w:i w:val="0"/>
          <w:color w:val="002060"/>
          <w:sz w:val="18"/>
          <w:szCs w:val="18"/>
        </w:rPr>
        <w:t>Farmstead Area</w:t>
      </w:r>
      <w:r w:rsidR="00FB7EBE" w:rsidRPr="00CD0492">
        <w:rPr>
          <w:rStyle w:val="Emphasis"/>
          <w:rFonts w:ascii="Arial" w:hAnsi="Arial" w:cs="Arial"/>
          <w:i w:val="0"/>
          <w:color w:val="002060"/>
          <w:sz w:val="18"/>
          <w:szCs w:val="18"/>
        </w:rPr>
        <w:t>"</w:t>
      </w:r>
      <w:r w:rsidRPr="00CD0492">
        <w:rPr>
          <w:rStyle w:val="Emphasis"/>
          <w:rFonts w:ascii="Arial" w:hAnsi="Arial" w:cs="Arial"/>
          <w:i w:val="0"/>
          <w:color w:val="002060"/>
          <w:sz w:val="18"/>
          <w:szCs w:val="18"/>
        </w:rPr>
        <w:t xml:space="preserve"> must be clearly defined </w:t>
      </w:r>
      <w:r w:rsidR="00284E08" w:rsidRPr="00CD0492">
        <w:rPr>
          <w:rStyle w:val="Emphasis"/>
          <w:rFonts w:ascii="Arial" w:hAnsi="Arial" w:cs="Arial"/>
          <w:i w:val="0"/>
          <w:color w:val="002060"/>
          <w:sz w:val="18"/>
          <w:szCs w:val="18"/>
        </w:rPr>
        <w:t xml:space="preserve">in </w:t>
      </w:r>
      <w:r w:rsidR="00993953" w:rsidRPr="00CD0492">
        <w:rPr>
          <w:rStyle w:val="Emphasis"/>
          <w:rFonts w:ascii="Arial" w:hAnsi="Arial" w:cs="Arial"/>
          <w:i w:val="0"/>
          <w:color w:val="002060"/>
          <w:sz w:val="18"/>
          <w:szCs w:val="18"/>
        </w:rPr>
        <w:t>the b</w:t>
      </w:r>
      <w:r w:rsidR="00284E08" w:rsidRPr="00CD0492">
        <w:rPr>
          <w:rStyle w:val="Emphasis"/>
          <w:rFonts w:ascii="Arial" w:hAnsi="Arial" w:cs="Arial"/>
          <w:i w:val="0"/>
          <w:color w:val="002060"/>
          <w:sz w:val="18"/>
          <w:szCs w:val="18"/>
        </w:rPr>
        <w:t xml:space="preserve">aseline </w:t>
      </w:r>
      <w:r w:rsidR="00C2348B" w:rsidRPr="00CD0492">
        <w:rPr>
          <w:rStyle w:val="Emphasis"/>
          <w:rFonts w:ascii="Arial" w:hAnsi="Arial" w:cs="Arial"/>
          <w:i w:val="0"/>
          <w:color w:val="002060"/>
          <w:sz w:val="18"/>
          <w:szCs w:val="18"/>
        </w:rPr>
        <w:t xml:space="preserve">documentation and </w:t>
      </w:r>
      <w:r w:rsidRPr="00CD0492">
        <w:rPr>
          <w:rStyle w:val="Emphasis"/>
          <w:rFonts w:ascii="Arial" w:hAnsi="Arial" w:cs="Arial"/>
          <w:i w:val="0"/>
          <w:color w:val="002060"/>
          <w:sz w:val="18"/>
          <w:szCs w:val="18"/>
        </w:rPr>
        <w:t>properly described</w:t>
      </w:r>
      <w:r w:rsidR="00C2348B" w:rsidRPr="00CD0492">
        <w:rPr>
          <w:rStyle w:val="Emphasis"/>
          <w:rFonts w:ascii="Arial" w:hAnsi="Arial" w:cs="Arial"/>
          <w:i w:val="0"/>
          <w:color w:val="002060"/>
          <w:sz w:val="18"/>
          <w:szCs w:val="18"/>
        </w:rPr>
        <w:t xml:space="preserve"> in the easement language.</w:t>
      </w:r>
      <w:r w:rsidRPr="00CD0492">
        <w:rPr>
          <w:rStyle w:val="Emphasis"/>
          <w:rFonts w:ascii="Arial" w:hAnsi="Arial" w:cs="Arial"/>
          <w:i w:val="0"/>
          <w:color w:val="002060"/>
          <w:sz w:val="18"/>
          <w:szCs w:val="18"/>
        </w:rPr>
        <w:t xml:space="preserve">  A </w:t>
      </w:r>
      <w:r w:rsidR="00FB7EBE" w:rsidRPr="00CD0492">
        <w:rPr>
          <w:rStyle w:val="Emphasis"/>
          <w:rFonts w:ascii="Arial" w:hAnsi="Arial" w:cs="Arial"/>
          <w:i w:val="0"/>
          <w:color w:val="002060"/>
          <w:sz w:val="18"/>
          <w:szCs w:val="18"/>
        </w:rPr>
        <w:t>"</w:t>
      </w:r>
      <w:r w:rsidRPr="00CD0492">
        <w:rPr>
          <w:rStyle w:val="Emphasis"/>
          <w:rFonts w:ascii="Arial" w:hAnsi="Arial" w:cs="Arial"/>
          <w:i w:val="0"/>
          <w:color w:val="002060"/>
          <w:sz w:val="18"/>
          <w:szCs w:val="18"/>
        </w:rPr>
        <w:t>Farmstead Area</w:t>
      </w:r>
      <w:r w:rsidR="00FB7EBE" w:rsidRPr="00CD0492">
        <w:rPr>
          <w:rStyle w:val="Emphasis"/>
          <w:rFonts w:ascii="Arial" w:hAnsi="Arial" w:cs="Arial"/>
          <w:i w:val="0"/>
          <w:color w:val="002060"/>
          <w:sz w:val="18"/>
          <w:szCs w:val="18"/>
        </w:rPr>
        <w:t>"</w:t>
      </w:r>
      <w:r w:rsidRPr="00CD0492">
        <w:rPr>
          <w:rStyle w:val="Emphasis"/>
          <w:rFonts w:ascii="Arial" w:hAnsi="Arial" w:cs="Arial"/>
          <w:i w:val="0"/>
          <w:color w:val="002060"/>
          <w:sz w:val="18"/>
          <w:szCs w:val="18"/>
        </w:rPr>
        <w:t xml:space="preserve"> may not compromise the conservation value of the property or restrict the </w:t>
      </w:r>
      <w:r w:rsidR="00840127" w:rsidRPr="00CD0492">
        <w:rPr>
          <w:rStyle w:val="Emphasis"/>
          <w:rFonts w:ascii="Arial" w:hAnsi="Arial" w:cs="Arial"/>
          <w:i w:val="0"/>
          <w:color w:val="002060"/>
          <w:sz w:val="18"/>
          <w:szCs w:val="18"/>
        </w:rPr>
        <w:t xml:space="preserve">agricultural </w:t>
      </w:r>
      <w:r w:rsidRPr="00CD0492">
        <w:rPr>
          <w:rStyle w:val="Emphasis"/>
          <w:rFonts w:ascii="Arial" w:hAnsi="Arial" w:cs="Arial"/>
          <w:i w:val="0"/>
          <w:color w:val="002060"/>
          <w:sz w:val="18"/>
          <w:szCs w:val="18"/>
        </w:rPr>
        <w:t xml:space="preserve">production of </w:t>
      </w:r>
      <w:r w:rsidR="00840127" w:rsidRPr="00CD0492">
        <w:rPr>
          <w:rStyle w:val="Emphasis"/>
          <w:rFonts w:ascii="Arial" w:hAnsi="Arial" w:cs="Arial"/>
          <w:i w:val="0"/>
          <w:color w:val="002060"/>
          <w:sz w:val="18"/>
          <w:szCs w:val="18"/>
        </w:rPr>
        <w:t xml:space="preserve">agricultural </w:t>
      </w:r>
      <w:r w:rsidRPr="00CD0492">
        <w:rPr>
          <w:rStyle w:val="Emphasis"/>
          <w:rFonts w:ascii="Arial" w:hAnsi="Arial" w:cs="Arial"/>
          <w:i w:val="0"/>
          <w:color w:val="002060"/>
          <w:sz w:val="18"/>
          <w:szCs w:val="18"/>
        </w:rPr>
        <w:t xml:space="preserve">crops, horticulture or forestry production on the parcel of land being considered for an agricultural easement.  Any structure in the Farmstead Area </w:t>
      </w:r>
      <w:r w:rsidR="00611E1C" w:rsidRPr="00CD0492">
        <w:rPr>
          <w:rStyle w:val="Emphasis"/>
          <w:rFonts w:ascii="Arial" w:hAnsi="Arial" w:cs="Arial"/>
          <w:i w:val="0"/>
          <w:color w:val="002060"/>
          <w:sz w:val="18"/>
          <w:szCs w:val="18"/>
        </w:rPr>
        <w:t>must be</w:t>
      </w:r>
      <w:r w:rsidRPr="00CD0492">
        <w:rPr>
          <w:rStyle w:val="Emphasis"/>
          <w:rFonts w:ascii="Arial" w:hAnsi="Arial" w:cs="Arial"/>
          <w:i w:val="0"/>
          <w:color w:val="002060"/>
          <w:sz w:val="18"/>
          <w:szCs w:val="18"/>
        </w:rPr>
        <w:t xml:space="preserve"> complimentary to agriculture production and comply with all county zoning regulations</w:t>
      </w:r>
      <w:r w:rsidR="00611E1C" w:rsidRPr="00CD0492">
        <w:rPr>
          <w:rStyle w:val="Emphasis"/>
          <w:rFonts w:ascii="Arial" w:hAnsi="Arial" w:cs="Arial"/>
          <w:i w:val="0"/>
          <w:color w:val="002060"/>
          <w:sz w:val="18"/>
          <w:szCs w:val="18"/>
        </w:rPr>
        <w:t xml:space="preserve">.  </w:t>
      </w:r>
      <w:r w:rsidR="00840127" w:rsidRPr="00CD0492">
        <w:rPr>
          <w:rStyle w:val="Strong"/>
          <w:rFonts w:ascii="Arial" w:hAnsi="Arial" w:cs="Arial"/>
          <w:b w:val="0"/>
          <w:i/>
          <w:color w:val="002060"/>
          <w:sz w:val="18"/>
          <w:szCs w:val="18"/>
        </w:rPr>
        <w:t>(Approved 12-09-08)</w:t>
      </w:r>
    </w:p>
    <w:p w14:paraId="3826B459" w14:textId="292B2730" w:rsidR="006718AD" w:rsidRDefault="006718AD" w:rsidP="006718AD">
      <w:pPr>
        <w:pStyle w:val="NormalWeb"/>
        <w:rPr>
          <w:rStyle w:val="Strong"/>
          <w:rFonts w:ascii="Arial" w:hAnsi="Arial" w:cs="Arial"/>
          <w:b w:val="0"/>
          <w:i/>
          <w:color w:val="002060"/>
          <w:sz w:val="18"/>
          <w:szCs w:val="18"/>
        </w:rPr>
      </w:pPr>
      <w:r>
        <w:rPr>
          <w:rStyle w:val="Strong"/>
          <w:rFonts w:ascii="Arial" w:hAnsi="Arial" w:cs="Arial"/>
          <w:bCs w:val="0"/>
          <w:iCs/>
          <w:color w:val="002060"/>
          <w:sz w:val="18"/>
          <w:szCs w:val="18"/>
        </w:rPr>
        <w:t xml:space="preserve">Impervious Surfaces: </w:t>
      </w:r>
      <w:r w:rsidRPr="006718AD">
        <w:rPr>
          <w:rStyle w:val="Strong"/>
          <w:rFonts w:ascii="Arial" w:hAnsi="Arial" w:cs="Arial"/>
          <w:b w:val="0"/>
          <w:iCs/>
          <w:color w:val="002060"/>
          <w:sz w:val="18"/>
          <w:szCs w:val="18"/>
        </w:rPr>
        <w:t>An agricultural conservation easement funded by the N.C. ADFP Trust Fund has an impervious surface limit of two (2) percent of the total acreage of the agricultural conservation easement. This restriction applies to permanent and temporary impervious surfaces, both existing and proposed. An impervious surface is defined as an area covered by water-resistant materials. These include, but are not limited to, paved or packed roads, structures and rooftops, concrete pads, oil and gas well pads, and solar panels.</w:t>
      </w:r>
      <w:r w:rsidR="00C16FBC">
        <w:rPr>
          <w:rStyle w:val="Strong"/>
          <w:rFonts w:ascii="Arial" w:hAnsi="Arial" w:cs="Arial"/>
          <w:b w:val="0"/>
          <w:iCs/>
          <w:color w:val="002060"/>
          <w:sz w:val="18"/>
          <w:szCs w:val="18"/>
        </w:rPr>
        <w:t xml:space="preserve"> </w:t>
      </w:r>
      <w:r w:rsidRPr="006718AD">
        <w:rPr>
          <w:rStyle w:val="Strong"/>
          <w:rFonts w:ascii="Arial" w:hAnsi="Arial" w:cs="Arial"/>
          <w:b w:val="0"/>
          <w:iCs/>
          <w:color w:val="002060"/>
          <w:sz w:val="18"/>
          <w:szCs w:val="18"/>
        </w:rPr>
        <w:t>To ensure the current and long-term viability of an agricultural operation, an increase in the impervious surface limit may be allowed up to five (5) percent of the total acreage of the agricultural conservation easement if there is a need based on current or planned agricultural uses and residential and farm support housing structures are limited. This waiver may be submitted during the open contract period prior to the recording of the conservation easement. No amendments to the impervious surface limit will be accepted after recording the conservation easement.</w:t>
      </w:r>
      <w:r w:rsidR="00EC0F80">
        <w:rPr>
          <w:rStyle w:val="Strong"/>
          <w:rFonts w:ascii="Arial" w:hAnsi="Arial" w:cs="Arial"/>
          <w:b w:val="0"/>
          <w:iCs/>
          <w:color w:val="002060"/>
          <w:sz w:val="18"/>
          <w:szCs w:val="18"/>
        </w:rPr>
        <w:t xml:space="preserve"> </w:t>
      </w:r>
      <w:r w:rsidR="00EC0F80" w:rsidRPr="00EC0F80">
        <w:rPr>
          <w:rStyle w:val="Strong"/>
          <w:rFonts w:ascii="Arial" w:hAnsi="Arial" w:cs="Arial"/>
          <w:b w:val="0"/>
          <w:i/>
          <w:color w:val="002060"/>
          <w:sz w:val="18"/>
          <w:szCs w:val="18"/>
        </w:rPr>
        <w:t>(Approved 12-06-22)</w:t>
      </w:r>
    </w:p>
    <w:p w14:paraId="050A8F5A" w14:textId="77777777" w:rsidR="008969C1" w:rsidRPr="008969C1" w:rsidRDefault="008969C1" w:rsidP="008969C1">
      <w:pPr>
        <w:pStyle w:val="NormalWeb"/>
        <w:rPr>
          <w:rFonts w:ascii="Arial" w:hAnsi="Arial" w:cs="Arial"/>
          <w:b/>
          <w:bCs/>
          <w:iCs/>
          <w:color w:val="002060"/>
          <w:sz w:val="18"/>
          <w:szCs w:val="18"/>
          <w:u w:val="single"/>
        </w:rPr>
      </w:pPr>
      <w:r w:rsidRPr="008969C1">
        <w:rPr>
          <w:rFonts w:ascii="Arial" w:hAnsi="Arial" w:cs="Arial"/>
          <w:b/>
          <w:bCs/>
          <w:iCs/>
          <w:color w:val="002060"/>
          <w:sz w:val="18"/>
          <w:szCs w:val="18"/>
          <w:u w:val="single"/>
        </w:rPr>
        <w:t>Additional Funds for Conservation Easement Purchase</w:t>
      </w:r>
    </w:p>
    <w:p w14:paraId="16AC2483" w14:textId="5D1824EB" w:rsidR="00716CFF" w:rsidRPr="008969C1" w:rsidRDefault="008969C1" w:rsidP="006718AD">
      <w:pPr>
        <w:pStyle w:val="NormalWeb"/>
        <w:rPr>
          <w:rStyle w:val="Emphasis"/>
          <w:rFonts w:ascii="Arial" w:hAnsi="Arial" w:cs="Arial"/>
          <w:bCs/>
          <w:i w:val="0"/>
          <w:color w:val="002060"/>
          <w:sz w:val="18"/>
          <w:szCs w:val="18"/>
        </w:rPr>
      </w:pPr>
      <w:r w:rsidRPr="008969C1">
        <w:rPr>
          <w:rFonts w:ascii="Arial" w:hAnsi="Arial" w:cs="Arial"/>
          <w:bCs/>
          <w:iCs/>
          <w:color w:val="002060"/>
          <w:sz w:val="18"/>
          <w:szCs w:val="18"/>
        </w:rPr>
        <w:t>The purpose of the Additional Conservation Easement Purchase Funds Application is to allow grantees with existing conservation easement grant contracts through the Standard Conservation Easement Appraisal Program to add funds to the conservation easement purchase line item. Eligible applicants are existing grant contract awardees with unrecorded conservation easement projects and are considered Low Risk according to the N.C. ADFP Trust Fund Grantee Risk Assessment Guide. All applications are restricted to the conservation easement purchase line item. Grant awards cannot exceed 50 percent of the estimated or appraised value of the conservation easement purchase. Existing grant contracts are limited to one additional funds award. Grantees must justify their request for Additional Conservation Easement Purchase Funds. Allowable justifications include the rejection or deferment of a grant funds application from federal, local, nonprofit, or private sources, or the results of a Certified Development Rights Appraisal, which determines that the conservation easement purchase value exceeds the contracted line item. Grantees are ineligible for additional funds if the request increases the percentage of easement purchase value without a formal denial of an application for easement purchase funding from federal, local, nonprofit, or private sources. (</w:t>
      </w:r>
      <w:r w:rsidRPr="008969C1">
        <w:rPr>
          <w:rFonts w:ascii="Arial" w:hAnsi="Arial" w:cs="Arial"/>
          <w:bCs/>
          <w:i/>
          <w:iCs/>
          <w:color w:val="002060"/>
          <w:sz w:val="18"/>
          <w:szCs w:val="18"/>
        </w:rPr>
        <w:t>Approved 9-2-25)</w:t>
      </w:r>
    </w:p>
    <w:p w14:paraId="02E20AA4" w14:textId="77777777" w:rsidR="00C75E29" w:rsidRPr="00CD0492" w:rsidRDefault="00C75E29" w:rsidP="00C75E29">
      <w:pPr>
        <w:pStyle w:val="style25"/>
        <w:rPr>
          <w:rFonts w:ascii="Arial" w:hAnsi="Arial" w:cs="Arial"/>
          <w:color w:val="002060"/>
        </w:rPr>
      </w:pPr>
      <w:r w:rsidRPr="00CD0492">
        <w:rPr>
          <w:rFonts w:ascii="Arial" w:hAnsi="Arial" w:cs="Arial"/>
          <w:color w:val="002060"/>
          <w:u w:val="single"/>
        </w:rPr>
        <w:t xml:space="preserve">Matching Requirements </w:t>
      </w:r>
    </w:p>
    <w:p w14:paraId="34BEE60F" w14:textId="77777777" w:rsidR="000C3A0C" w:rsidRPr="00CD0492" w:rsidRDefault="000C3A0C" w:rsidP="00C75E29">
      <w:pPr>
        <w:pStyle w:val="style2"/>
        <w:rPr>
          <w:rFonts w:ascii="Arial" w:hAnsi="Arial" w:cs="Arial"/>
          <w:bCs/>
          <w:i/>
          <w:color w:val="002060"/>
        </w:rPr>
      </w:pPr>
      <w:r w:rsidRPr="00CD0492">
        <w:rPr>
          <w:rFonts w:ascii="Arial" w:hAnsi="Arial" w:cs="Arial"/>
          <w:b/>
          <w:color w:val="002060"/>
        </w:rPr>
        <w:lastRenderedPageBreak/>
        <w:t>Match Source:</w:t>
      </w:r>
      <w:r w:rsidRPr="00CD0492">
        <w:rPr>
          <w:rFonts w:ascii="Arial" w:hAnsi="Arial" w:cs="Arial"/>
          <w:color w:val="002060"/>
        </w:rPr>
        <w:t xml:space="preserve"> Match</w:t>
      </w:r>
      <w:r w:rsidRPr="00CD0492">
        <w:rPr>
          <w:rFonts w:ascii="Arial" w:hAnsi="Arial" w:cs="Arial"/>
          <w:b/>
          <w:color w:val="002060"/>
        </w:rPr>
        <w:t xml:space="preserve"> </w:t>
      </w:r>
      <w:r w:rsidRPr="00CD0492">
        <w:rPr>
          <w:rFonts w:ascii="Arial" w:hAnsi="Arial" w:cs="Arial"/>
          <w:color w:val="002060"/>
        </w:rPr>
        <w:t xml:space="preserve">may </w:t>
      </w:r>
      <w:r w:rsidRPr="00CD0492">
        <w:rPr>
          <w:rFonts w:ascii="Arial" w:hAnsi="Arial" w:cs="Arial"/>
          <w:color w:val="002060"/>
          <w:u w:val="single"/>
        </w:rPr>
        <w:t>no</w:t>
      </w:r>
      <w:r w:rsidRPr="00CD0492">
        <w:rPr>
          <w:rFonts w:ascii="Arial" w:hAnsi="Arial" w:cs="Arial"/>
          <w:color w:val="002060"/>
        </w:rPr>
        <w:t>t be from a like kind appropriation source as the ADFP Trust Fund grant funding.  Example, NCDA&amp;CS state appropriated funding matching ADFP Trust Fund state appropriated funding.</w:t>
      </w:r>
      <w:r w:rsidRPr="00CD0492">
        <w:rPr>
          <w:rFonts w:ascii="Arial" w:hAnsi="Arial" w:cs="Arial"/>
          <w:bCs/>
          <w:color w:val="002060"/>
        </w:rPr>
        <w:t xml:space="preserve"> (</w:t>
      </w:r>
      <w:r w:rsidRPr="00CD0492">
        <w:rPr>
          <w:rFonts w:ascii="Arial" w:hAnsi="Arial" w:cs="Arial"/>
          <w:bCs/>
          <w:i/>
          <w:color w:val="002060"/>
        </w:rPr>
        <w:t>Approved 5/12/2015)</w:t>
      </w:r>
    </w:p>
    <w:p w14:paraId="1A8C94F0" w14:textId="77777777" w:rsidR="00560CEC" w:rsidRPr="00CD0492" w:rsidRDefault="00560CEC" w:rsidP="00560CEC">
      <w:pPr>
        <w:pStyle w:val="style2"/>
        <w:rPr>
          <w:rFonts w:ascii="Arial" w:hAnsi="Arial" w:cs="Arial"/>
          <w:color w:val="002060"/>
        </w:rPr>
      </w:pPr>
      <w:r w:rsidRPr="00CD0492">
        <w:rPr>
          <w:rFonts w:ascii="Arial" w:hAnsi="Arial" w:cs="Arial"/>
          <w:b/>
          <w:color w:val="002060"/>
        </w:rPr>
        <w:t>Special Recognition for Landowner Donation for Military:</w:t>
      </w:r>
      <w:r w:rsidRPr="00CD0492">
        <w:rPr>
          <w:rFonts w:ascii="Arial" w:hAnsi="Arial" w:cs="Arial"/>
          <w:color w:val="002060"/>
        </w:rPr>
        <w:t xml:space="preserve"> A landowner donation of conservation easement value may be used a replacement of military funding provided the following criteria are achieved.</w:t>
      </w:r>
    </w:p>
    <w:p w14:paraId="1E3A6A3F" w14:textId="77777777" w:rsidR="00115C82" w:rsidRPr="00CD0492" w:rsidRDefault="00560CEC" w:rsidP="00560CEC">
      <w:pPr>
        <w:pStyle w:val="style2"/>
        <w:numPr>
          <w:ilvl w:val="0"/>
          <w:numId w:val="8"/>
        </w:numPr>
        <w:spacing w:before="0" w:beforeAutospacing="0" w:after="0" w:afterAutospacing="0"/>
        <w:rPr>
          <w:rFonts w:ascii="Arial" w:hAnsi="Arial" w:cs="Arial"/>
          <w:color w:val="002060"/>
        </w:rPr>
      </w:pPr>
      <w:r w:rsidRPr="00CD0492">
        <w:rPr>
          <w:rFonts w:ascii="Arial" w:hAnsi="Arial" w:cs="Arial"/>
          <w:color w:val="002060"/>
        </w:rPr>
        <w:t>The military service provides documentation that the land is a high priority protect parcel.</w:t>
      </w:r>
    </w:p>
    <w:p w14:paraId="420AA90F" w14:textId="77777777" w:rsidR="00115C82" w:rsidRPr="00CD0492" w:rsidRDefault="00560CEC" w:rsidP="00560CEC">
      <w:pPr>
        <w:pStyle w:val="style2"/>
        <w:numPr>
          <w:ilvl w:val="0"/>
          <w:numId w:val="8"/>
        </w:numPr>
        <w:spacing w:before="0" w:beforeAutospacing="0" w:after="0" w:afterAutospacing="0"/>
        <w:rPr>
          <w:rFonts w:ascii="Arial" w:hAnsi="Arial" w:cs="Arial"/>
          <w:color w:val="002060"/>
        </w:rPr>
      </w:pPr>
      <w:r w:rsidRPr="00CD0492">
        <w:rPr>
          <w:rFonts w:ascii="Arial" w:hAnsi="Arial" w:cs="Arial"/>
          <w:color w:val="002060"/>
        </w:rPr>
        <w:t>The military service provides funding to assist with appraisal, closing, legal and other administrative expenditures to secure the conservation easement.</w:t>
      </w:r>
    </w:p>
    <w:p w14:paraId="2E048ACD" w14:textId="77777777" w:rsidR="00115C82" w:rsidRPr="00CD0492" w:rsidRDefault="00560CEC" w:rsidP="00560CEC">
      <w:pPr>
        <w:pStyle w:val="style2"/>
        <w:numPr>
          <w:ilvl w:val="0"/>
          <w:numId w:val="8"/>
        </w:numPr>
        <w:spacing w:before="0" w:beforeAutospacing="0" w:after="0" w:afterAutospacing="0"/>
        <w:rPr>
          <w:rFonts w:ascii="Arial" w:hAnsi="Arial" w:cs="Arial"/>
          <w:color w:val="002060"/>
        </w:rPr>
      </w:pPr>
      <w:r w:rsidRPr="00CD0492">
        <w:rPr>
          <w:rFonts w:ascii="Arial" w:hAnsi="Arial" w:cs="Arial"/>
          <w:color w:val="002060"/>
        </w:rPr>
        <w:t xml:space="preserve">ADFPTF grant funds for the purchase of the conservation easement are limited to 50% or less of the appraised value.  </w:t>
      </w:r>
    </w:p>
    <w:p w14:paraId="7F4DB8F4" w14:textId="77777777" w:rsidR="00115C82" w:rsidRPr="00CD0492" w:rsidRDefault="00560CEC" w:rsidP="00560CEC">
      <w:pPr>
        <w:pStyle w:val="style2"/>
        <w:numPr>
          <w:ilvl w:val="0"/>
          <w:numId w:val="8"/>
        </w:numPr>
        <w:spacing w:before="0" w:beforeAutospacing="0" w:after="0" w:afterAutospacing="0"/>
        <w:rPr>
          <w:rFonts w:ascii="Arial" w:hAnsi="Arial" w:cs="Arial"/>
          <w:color w:val="002060"/>
        </w:rPr>
      </w:pPr>
      <w:r w:rsidRPr="00CD0492">
        <w:rPr>
          <w:rFonts w:ascii="Arial" w:hAnsi="Arial" w:cs="Arial"/>
          <w:color w:val="002060"/>
        </w:rPr>
        <w:t>ADFPTF grant funds may be used to assist with administrative expenditures except for the appraisal to secure the conservation easement.</w:t>
      </w:r>
    </w:p>
    <w:p w14:paraId="63BD6AB7" w14:textId="77777777" w:rsidR="00115C82" w:rsidRPr="00CD0492" w:rsidRDefault="00560CEC" w:rsidP="00560CEC">
      <w:pPr>
        <w:pStyle w:val="style2"/>
        <w:numPr>
          <w:ilvl w:val="0"/>
          <w:numId w:val="8"/>
        </w:numPr>
        <w:spacing w:before="0" w:beforeAutospacing="0" w:after="0" w:afterAutospacing="0"/>
        <w:rPr>
          <w:rFonts w:ascii="Arial" w:hAnsi="Arial" w:cs="Arial"/>
          <w:color w:val="002060"/>
        </w:rPr>
      </w:pPr>
      <w:r w:rsidRPr="00CD0492">
        <w:rPr>
          <w:rFonts w:ascii="Arial" w:hAnsi="Arial" w:cs="Arial"/>
          <w:color w:val="002060"/>
        </w:rPr>
        <w:t>ADFPTF grant funds may be considered for monitoring and stewardship funding.</w:t>
      </w:r>
    </w:p>
    <w:p w14:paraId="74B3D4E8" w14:textId="77777777" w:rsidR="00560CEC" w:rsidRPr="00CD0492" w:rsidRDefault="00560CEC" w:rsidP="00560CEC">
      <w:pPr>
        <w:pStyle w:val="style2"/>
        <w:spacing w:before="0" w:beforeAutospacing="0" w:after="0" w:afterAutospacing="0"/>
        <w:rPr>
          <w:rFonts w:ascii="Arial" w:hAnsi="Arial" w:cs="Arial"/>
          <w:i/>
          <w:color w:val="002060"/>
        </w:rPr>
      </w:pPr>
      <w:r w:rsidRPr="00CD0492">
        <w:rPr>
          <w:rFonts w:ascii="Arial" w:hAnsi="Arial" w:cs="Arial"/>
          <w:i/>
          <w:color w:val="002060"/>
        </w:rPr>
        <w:t>(Approved 5-23-2019)</w:t>
      </w:r>
    </w:p>
    <w:p w14:paraId="31FBADBC" w14:textId="77777777" w:rsidR="00C75E29" w:rsidRPr="00CD0492" w:rsidRDefault="00C75E29" w:rsidP="00C75E29">
      <w:pPr>
        <w:pStyle w:val="NormalWeb"/>
        <w:rPr>
          <w:rFonts w:ascii="Arial" w:hAnsi="Arial" w:cs="Arial"/>
          <w:color w:val="002060"/>
          <w:sz w:val="18"/>
          <w:szCs w:val="18"/>
        </w:rPr>
      </w:pPr>
      <w:r w:rsidRPr="00CD0492">
        <w:rPr>
          <w:rStyle w:val="Strong"/>
          <w:rFonts w:ascii="Arial" w:hAnsi="Arial" w:cs="Arial"/>
          <w:color w:val="002060"/>
          <w:sz w:val="18"/>
          <w:szCs w:val="18"/>
        </w:rPr>
        <w:t>Matching Requirements for Permanent Easements: </w:t>
      </w:r>
      <w:r w:rsidRPr="00CD0492">
        <w:rPr>
          <w:rFonts w:ascii="Arial" w:hAnsi="Arial" w:cs="Arial"/>
          <w:color w:val="002060"/>
          <w:sz w:val="18"/>
          <w:szCs w:val="18"/>
        </w:rPr>
        <w:t xml:space="preserve">Matches can be in-kind, cash, donated easement value, or money from other programs of like kind to the ADFP Trust Fund.  Programs used for matching must restrict the development rights and have restrictive language attached to the deed.  For example, a funding match from USDA Farm &amp; Ranch Protection Program would be eligible while a USDA Conservation Reserve Program would </w:t>
      </w:r>
      <w:r w:rsidRPr="00CD0492">
        <w:rPr>
          <w:rFonts w:ascii="Arial" w:hAnsi="Arial" w:cs="Arial"/>
          <w:color w:val="002060"/>
          <w:sz w:val="18"/>
          <w:szCs w:val="18"/>
          <w:u w:val="single"/>
        </w:rPr>
        <w:t>not</w:t>
      </w:r>
      <w:r w:rsidRPr="00CD0492">
        <w:rPr>
          <w:rFonts w:ascii="Arial" w:hAnsi="Arial" w:cs="Arial"/>
          <w:color w:val="002060"/>
          <w:sz w:val="18"/>
          <w:szCs w:val="18"/>
        </w:rPr>
        <w:t xml:space="preserve"> be eligible.  </w:t>
      </w:r>
      <w:r w:rsidR="003056D0" w:rsidRPr="00CD0492">
        <w:rPr>
          <w:rFonts w:ascii="Arial" w:hAnsi="Arial" w:cs="Arial"/>
          <w:color w:val="002060"/>
          <w:sz w:val="18"/>
          <w:szCs w:val="18"/>
        </w:rPr>
        <w:t xml:space="preserve">Matches must be directly associated with and concurrent to the land parcel being considered </w:t>
      </w:r>
      <w:r w:rsidR="00332925" w:rsidRPr="00CD0492">
        <w:rPr>
          <w:rFonts w:ascii="Arial" w:hAnsi="Arial" w:cs="Arial"/>
          <w:color w:val="002060"/>
          <w:sz w:val="18"/>
          <w:szCs w:val="18"/>
        </w:rPr>
        <w:t xml:space="preserve">for </w:t>
      </w:r>
      <w:r w:rsidR="000332E6" w:rsidRPr="00CD0492">
        <w:rPr>
          <w:rFonts w:ascii="Arial" w:hAnsi="Arial" w:cs="Arial"/>
          <w:color w:val="002060"/>
          <w:sz w:val="18"/>
          <w:szCs w:val="18"/>
        </w:rPr>
        <w:t xml:space="preserve">an </w:t>
      </w:r>
      <w:r w:rsidR="00332925" w:rsidRPr="00CD0492">
        <w:rPr>
          <w:rFonts w:ascii="Arial" w:hAnsi="Arial" w:cs="Arial"/>
          <w:color w:val="002060"/>
          <w:sz w:val="18"/>
          <w:szCs w:val="18"/>
        </w:rPr>
        <w:t xml:space="preserve">ADFP Trust </w:t>
      </w:r>
      <w:r w:rsidR="000332E6" w:rsidRPr="00CD0492">
        <w:rPr>
          <w:rFonts w:ascii="Arial" w:hAnsi="Arial" w:cs="Arial"/>
          <w:color w:val="002060"/>
          <w:sz w:val="18"/>
          <w:szCs w:val="18"/>
        </w:rPr>
        <w:t>Fund grant</w:t>
      </w:r>
      <w:r w:rsidR="003056D0" w:rsidRPr="00CD0492">
        <w:rPr>
          <w:rFonts w:ascii="Arial" w:hAnsi="Arial" w:cs="Arial"/>
          <w:color w:val="002060"/>
          <w:sz w:val="18"/>
          <w:szCs w:val="18"/>
        </w:rPr>
        <w:t xml:space="preserve">. </w:t>
      </w:r>
      <w:r w:rsidRPr="00CD0492">
        <w:rPr>
          <w:rFonts w:ascii="Arial" w:hAnsi="Arial" w:cs="Arial"/>
          <w:color w:val="002060"/>
          <w:sz w:val="18"/>
          <w:szCs w:val="18"/>
        </w:rPr>
        <w:t>Monitoring and transaction fees associated with the land parcel under consideration may be considered a match provided all cost values can be fully disclosed and certified before final grant payment is re</w:t>
      </w:r>
      <w:r w:rsidR="00332925" w:rsidRPr="00CD0492">
        <w:rPr>
          <w:rFonts w:ascii="Arial" w:hAnsi="Arial" w:cs="Arial"/>
          <w:color w:val="002060"/>
          <w:sz w:val="18"/>
          <w:szCs w:val="18"/>
        </w:rPr>
        <w:t xml:space="preserve">ceived. Monitoring fee matches are capped at 3% of the agricultural </w:t>
      </w:r>
      <w:r w:rsidR="00BC7AF7" w:rsidRPr="00CD0492">
        <w:rPr>
          <w:rFonts w:ascii="Arial" w:hAnsi="Arial" w:cs="Arial"/>
          <w:color w:val="002060"/>
          <w:sz w:val="18"/>
          <w:szCs w:val="18"/>
        </w:rPr>
        <w:t xml:space="preserve">conservation </w:t>
      </w:r>
      <w:r w:rsidR="00332925" w:rsidRPr="00CD0492">
        <w:rPr>
          <w:rFonts w:ascii="Arial" w:hAnsi="Arial" w:cs="Arial"/>
          <w:color w:val="002060"/>
          <w:sz w:val="18"/>
          <w:szCs w:val="18"/>
        </w:rPr>
        <w:t xml:space="preserve">easement value of the land parcel. </w:t>
      </w:r>
      <w:r w:rsidRPr="00CD0492">
        <w:rPr>
          <w:rFonts w:ascii="Arial" w:hAnsi="Arial" w:cs="Arial"/>
          <w:color w:val="002060"/>
          <w:sz w:val="18"/>
          <w:szCs w:val="18"/>
        </w:rPr>
        <w:t xml:space="preserve"> ADFP Trust Fund grants </w:t>
      </w:r>
      <w:proofErr w:type="spellStart"/>
      <w:r w:rsidRPr="00CD0492">
        <w:rPr>
          <w:rFonts w:ascii="Arial" w:hAnsi="Arial" w:cs="Arial"/>
          <w:color w:val="002060"/>
          <w:sz w:val="18"/>
          <w:szCs w:val="18"/>
        </w:rPr>
        <w:t>can not</w:t>
      </w:r>
      <w:proofErr w:type="spellEnd"/>
      <w:r w:rsidRPr="00CD0492">
        <w:rPr>
          <w:rFonts w:ascii="Arial" w:hAnsi="Arial" w:cs="Arial"/>
          <w:color w:val="002060"/>
          <w:sz w:val="18"/>
          <w:szCs w:val="18"/>
        </w:rPr>
        <w:t xml:space="preserve"> be used for indirect costs. </w:t>
      </w:r>
      <w:r w:rsidR="00840127" w:rsidRPr="00CD0492">
        <w:rPr>
          <w:rStyle w:val="Emphasis"/>
          <w:rFonts w:ascii="Arial" w:hAnsi="Arial" w:cs="Arial"/>
          <w:color w:val="002060"/>
          <w:sz w:val="18"/>
          <w:szCs w:val="18"/>
        </w:rPr>
        <w:t>(Revised 12-09-08)</w:t>
      </w:r>
    </w:p>
    <w:p w14:paraId="1F44DD0A" w14:textId="77777777" w:rsidR="00C75E29" w:rsidRPr="00CD0492" w:rsidRDefault="00C75E29" w:rsidP="00901AC6">
      <w:pPr>
        <w:pStyle w:val="NormalWeb"/>
        <w:rPr>
          <w:rStyle w:val="Emphasis"/>
          <w:rFonts w:ascii="Arial" w:hAnsi="Arial" w:cs="Arial"/>
          <w:color w:val="002060"/>
          <w:sz w:val="18"/>
          <w:szCs w:val="18"/>
        </w:rPr>
      </w:pPr>
      <w:r w:rsidRPr="00CD0492">
        <w:rPr>
          <w:rStyle w:val="Strong"/>
          <w:rFonts w:ascii="Arial" w:hAnsi="Arial" w:cs="Arial"/>
          <w:color w:val="002060"/>
          <w:sz w:val="18"/>
          <w:szCs w:val="18"/>
        </w:rPr>
        <w:t xml:space="preserve">Matching Requirements for Term Easements: </w:t>
      </w:r>
      <w:r w:rsidRPr="00CD0492">
        <w:rPr>
          <w:rFonts w:ascii="Arial" w:hAnsi="Arial" w:cs="Arial"/>
          <w:color w:val="002060"/>
          <w:sz w:val="18"/>
          <w:szCs w:val="18"/>
        </w:rPr>
        <w:t xml:space="preserve">By defining the value of a term easement, </w:t>
      </w:r>
      <w:proofErr w:type="gramStart"/>
      <w:r w:rsidRPr="00CD0492">
        <w:rPr>
          <w:rFonts w:ascii="Arial" w:hAnsi="Arial" w:cs="Arial"/>
          <w:color w:val="002060"/>
          <w:sz w:val="18"/>
          <w:szCs w:val="18"/>
        </w:rPr>
        <w:t>land owner</w:t>
      </w:r>
      <w:proofErr w:type="gramEnd"/>
      <w:r w:rsidRPr="00CD0492">
        <w:rPr>
          <w:rFonts w:ascii="Arial" w:hAnsi="Arial" w:cs="Arial"/>
          <w:color w:val="002060"/>
          <w:sz w:val="18"/>
          <w:szCs w:val="18"/>
        </w:rPr>
        <w:t xml:space="preserve"> donations and any partnering term easement program restricting development rights on the deed could then be considered for match. ADFP Trust Fund grants </w:t>
      </w:r>
      <w:proofErr w:type="spellStart"/>
      <w:r w:rsidRPr="00CD0492">
        <w:rPr>
          <w:rFonts w:ascii="Arial" w:hAnsi="Arial" w:cs="Arial"/>
          <w:color w:val="002060"/>
          <w:sz w:val="18"/>
          <w:szCs w:val="18"/>
        </w:rPr>
        <w:t>can not</w:t>
      </w:r>
      <w:proofErr w:type="spellEnd"/>
      <w:r w:rsidRPr="00CD0492">
        <w:rPr>
          <w:rFonts w:ascii="Arial" w:hAnsi="Arial" w:cs="Arial"/>
          <w:color w:val="002060"/>
          <w:sz w:val="18"/>
          <w:szCs w:val="18"/>
        </w:rPr>
        <w:t xml:space="preserve"> be used for indirect costs. Programs used for matching must restrict the development rights and have restrictive language attached to the deed. </w:t>
      </w:r>
      <w:r w:rsidR="00332925" w:rsidRPr="00CD0492">
        <w:rPr>
          <w:rFonts w:ascii="Arial" w:hAnsi="Arial" w:cs="Arial"/>
          <w:color w:val="002060"/>
          <w:sz w:val="18"/>
          <w:szCs w:val="18"/>
        </w:rPr>
        <w:t xml:space="preserve">Matches must be directly associated with and concurrent to the land parcel being considered for </w:t>
      </w:r>
      <w:r w:rsidR="000332E6" w:rsidRPr="00CD0492">
        <w:rPr>
          <w:rFonts w:ascii="Arial" w:hAnsi="Arial" w:cs="Arial"/>
          <w:color w:val="002060"/>
          <w:sz w:val="18"/>
          <w:szCs w:val="18"/>
        </w:rPr>
        <w:t xml:space="preserve">an </w:t>
      </w:r>
      <w:r w:rsidR="00332925" w:rsidRPr="00CD0492">
        <w:rPr>
          <w:rFonts w:ascii="Arial" w:hAnsi="Arial" w:cs="Arial"/>
          <w:color w:val="002060"/>
          <w:sz w:val="18"/>
          <w:szCs w:val="18"/>
        </w:rPr>
        <w:t xml:space="preserve">ADFP Trust </w:t>
      </w:r>
      <w:r w:rsidR="000332E6" w:rsidRPr="00CD0492">
        <w:rPr>
          <w:rFonts w:ascii="Arial" w:hAnsi="Arial" w:cs="Arial"/>
          <w:color w:val="002060"/>
          <w:sz w:val="18"/>
          <w:szCs w:val="18"/>
        </w:rPr>
        <w:t>F</w:t>
      </w:r>
      <w:r w:rsidR="00332925" w:rsidRPr="00CD0492">
        <w:rPr>
          <w:rFonts w:ascii="Arial" w:hAnsi="Arial" w:cs="Arial"/>
          <w:color w:val="002060"/>
          <w:sz w:val="18"/>
          <w:szCs w:val="18"/>
        </w:rPr>
        <w:t>und</w:t>
      </w:r>
      <w:r w:rsidR="000332E6" w:rsidRPr="00CD0492">
        <w:rPr>
          <w:rFonts w:ascii="Arial" w:hAnsi="Arial" w:cs="Arial"/>
          <w:color w:val="002060"/>
          <w:sz w:val="18"/>
          <w:szCs w:val="18"/>
        </w:rPr>
        <w:t xml:space="preserve"> grant</w:t>
      </w:r>
      <w:r w:rsidR="00E71DD8" w:rsidRPr="00CD0492">
        <w:rPr>
          <w:rStyle w:val="Emphasis"/>
          <w:rFonts w:ascii="Arial" w:hAnsi="Arial" w:cs="Arial"/>
          <w:color w:val="002060"/>
          <w:sz w:val="18"/>
          <w:szCs w:val="18"/>
        </w:rPr>
        <w:t xml:space="preserve">. </w:t>
      </w:r>
      <w:r w:rsidR="00E71DD8" w:rsidRPr="00CD0492">
        <w:rPr>
          <w:rFonts w:ascii="Arial" w:hAnsi="Arial" w:cs="Arial"/>
          <w:color w:val="002060"/>
          <w:sz w:val="18"/>
          <w:szCs w:val="18"/>
        </w:rPr>
        <w:t>Monitoring and transaction fees associated with the land parcel under consideration may be considered a match provided all cost values can be fully disclosed and certified before final grant payment is received</w:t>
      </w:r>
      <w:r w:rsidR="00BC7AF7" w:rsidRPr="00CD0492">
        <w:rPr>
          <w:rStyle w:val="Emphasis"/>
          <w:rFonts w:ascii="Arial" w:hAnsi="Arial" w:cs="Arial"/>
          <w:color w:val="002060"/>
          <w:sz w:val="18"/>
          <w:szCs w:val="18"/>
        </w:rPr>
        <w:t>.</w:t>
      </w:r>
      <w:r w:rsidR="00BC7AF7" w:rsidRPr="00CD0492">
        <w:rPr>
          <w:rFonts w:ascii="Arial" w:hAnsi="Arial" w:cs="Arial"/>
          <w:color w:val="002060"/>
          <w:sz w:val="18"/>
          <w:szCs w:val="18"/>
        </w:rPr>
        <w:t xml:space="preserve"> Monitoring fee matches are capped at 3% of the term agricultural conservation easement value of the land parcel.</w:t>
      </w:r>
      <w:r w:rsidR="00BC7AF7" w:rsidRPr="00CD0492">
        <w:rPr>
          <w:rStyle w:val="Emphasis"/>
          <w:rFonts w:ascii="Arial" w:hAnsi="Arial" w:cs="Arial"/>
          <w:color w:val="002060"/>
          <w:sz w:val="18"/>
          <w:szCs w:val="18"/>
        </w:rPr>
        <w:t xml:space="preserve"> </w:t>
      </w:r>
      <w:r w:rsidR="00840127" w:rsidRPr="00CD0492">
        <w:rPr>
          <w:rStyle w:val="Emphasis"/>
          <w:rFonts w:ascii="Arial" w:hAnsi="Arial" w:cs="Arial"/>
          <w:color w:val="002060"/>
          <w:sz w:val="18"/>
          <w:szCs w:val="18"/>
        </w:rPr>
        <w:t>(Revised 12-09-08)</w:t>
      </w:r>
    </w:p>
    <w:p w14:paraId="2FE09702" w14:textId="77777777" w:rsidR="00855158" w:rsidRPr="00CD0492" w:rsidRDefault="00C75E29" w:rsidP="00855158">
      <w:pPr>
        <w:pStyle w:val="NormalWeb"/>
        <w:rPr>
          <w:rStyle w:val="Emphasis"/>
          <w:rFonts w:ascii="Arial" w:hAnsi="Arial" w:cs="Arial"/>
          <w:b/>
          <w:i w:val="0"/>
          <w:color w:val="002060"/>
          <w:sz w:val="18"/>
          <w:szCs w:val="18"/>
        </w:rPr>
      </w:pPr>
      <w:r w:rsidRPr="00CD0492">
        <w:rPr>
          <w:rStyle w:val="Strong"/>
          <w:rFonts w:ascii="Arial" w:hAnsi="Arial" w:cs="Arial"/>
          <w:color w:val="002060"/>
          <w:sz w:val="18"/>
          <w:szCs w:val="18"/>
        </w:rPr>
        <w:t>Matching Requirements for Agricultural Development Programs: </w:t>
      </w:r>
      <w:r w:rsidRPr="00CD0492">
        <w:rPr>
          <w:rFonts w:ascii="Arial" w:hAnsi="Arial" w:cs="Arial"/>
          <w:color w:val="002060"/>
          <w:sz w:val="18"/>
          <w:szCs w:val="18"/>
        </w:rPr>
        <w:t xml:space="preserve">Agricultural development programs can use in-kind services, cash, land donation, labor hours, and equipment costs as matches but the burden of proof lies on the applicant.  A statement of value for such items as equipment must be certified by a specialist or an authority in the respective field.  ADFP Trust Fund grants </w:t>
      </w:r>
      <w:proofErr w:type="spellStart"/>
      <w:r w:rsidRPr="00CD0492">
        <w:rPr>
          <w:rFonts w:ascii="Arial" w:hAnsi="Arial" w:cs="Arial"/>
          <w:color w:val="002060"/>
          <w:sz w:val="18"/>
          <w:szCs w:val="18"/>
        </w:rPr>
        <w:t>can not</w:t>
      </w:r>
      <w:proofErr w:type="spellEnd"/>
      <w:r w:rsidRPr="00CD0492">
        <w:rPr>
          <w:rFonts w:ascii="Arial" w:hAnsi="Arial" w:cs="Arial"/>
          <w:color w:val="002060"/>
          <w:sz w:val="18"/>
          <w:szCs w:val="18"/>
        </w:rPr>
        <w:t xml:space="preserve"> be used for indirect costs. </w:t>
      </w:r>
      <w:r w:rsidRPr="00CD0492">
        <w:rPr>
          <w:rStyle w:val="Emphasis"/>
          <w:rFonts w:ascii="Arial" w:hAnsi="Arial" w:cs="Arial"/>
          <w:color w:val="002060"/>
          <w:sz w:val="18"/>
          <w:szCs w:val="18"/>
        </w:rPr>
        <w:t>(Approved 12-11-07)</w:t>
      </w:r>
      <w:r w:rsidR="00855158" w:rsidRPr="00CD0492">
        <w:rPr>
          <w:rStyle w:val="Emphasis"/>
          <w:rFonts w:ascii="Arial" w:hAnsi="Arial" w:cs="Arial"/>
          <w:b/>
          <w:i w:val="0"/>
          <w:color w:val="002060"/>
          <w:sz w:val="18"/>
          <w:szCs w:val="18"/>
        </w:rPr>
        <w:t xml:space="preserve"> </w:t>
      </w:r>
    </w:p>
    <w:p w14:paraId="560E016A" w14:textId="77777777" w:rsidR="00FA0EBB" w:rsidRPr="00CD0492" w:rsidRDefault="00855158" w:rsidP="00855158">
      <w:pPr>
        <w:pStyle w:val="NormalWeb"/>
        <w:rPr>
          <w:rStyle w:val="Emphasis"/>
          <w:rFonts w:ascii="Arial" w:hAnsi="Arial" w:cs="Arial"/>
          <w:b/>
          <w:i w:val="0"/>
          <w:color w:val="002060"/>
          <w:sz w:val="18"/>
          <w:szCs w:val="18"/>
        </w:rPr>
      </w:pPr>
      <w:r w:rsidRPr="00CD0492">
        <w:rPr>
          <w:rStyle w:val="Emphasis"/>
          <w:rFonts w:ascii="Arial" w:hAnsi="Arial" w:cs="Arial"/>
          <w:b/>
          <w:i w:val="0"/>
          <w:color w:val="002060"/>
          <w:sz w:val="18"/>
          <w:szCs w:val="18"/>
          <w:u w:val="single"/>
        </w:rPr>
        <w:t>Monitoring and Stewardship Funding</w:t>
      </w:r>
    </w:p>
    <w:p w14:paraId="0596EB1B" w14:textId="49F2CEE3" w:rsidR="00797206" w:rsidRPr="00EC5CD7" w:rsidRDefault="00855158" w:rsidP="00C75E29">
      <w:pPr>
        <w:pStyle w:val="NormalWeb"/>
        <w:rPr>
          <w:rStyle w:val="Strong"/>
          <w:rFonts w:ascii="Arial" w:hAnsi="Arial" w:cs="Arial"/>
          <w:b w:val="0"/>
          <w:bCs w:val="0"/>
          <w:color w:val="002060"/>
          <w:sz w:val="18"/>
          <w:szCs w:val="18"/>
        </w:rPr>
      </w:pPr>
      <w:r w:rsidRPr="00CD0492">
        <w:rPr>
          <w:rStyle w:val="Emphasis"/>
          <w:rFonts w:ascii="Arial" w:hAnsi="Arial" w:cs="Arial"/>
          <w:i w:val="0"/>
          <w:color w:val="002060"/>
          <w:sz w:val="18"/>
          <w:szCs w:val="18"/>
        </w:rPr>
        <w:t>Beginning with grant cycle IX,</w:t>
      </w:r>
      <w:r w:rsidRPr="00CD0492">
        <w:rPr>
          <w:rStyle w:val="Emphasis"/>
          <w:rFonts w:ascii="Arial" w:hAnsi="Arial" w:cs="Arial"/>
          <w:b/>
          <w:i w:val="0"/>
          <w:color w:val="002060"/>
          <w:sz w:val="18"/>
          <w:szCs w:val="18"/>
        </w:rPr>
        <w:t xml:space="preserve"> </w:t>
      </w:r>
      <w:r w:rsidRPr="00CD0492">
        <w:rPr>
          <w:rFonts w:ascii="Arial" w:hAnsi="Arial" w:cs="Arial"/>
          <w:iCs/>
          <w:color w:val="002060"/>
          <w:sz w:val="18"/>
          <w:szCs w:val="18"/>
        </w:rPr>
        <w:t xml:space="preserve">ADFP Trust Fund may provide funding for monitoring and stewardship of ADFP Trust Fund easements. Funding is limited to </w:t>
      </w:r>
      <w:r w:rsidRPr="00CD0492">
        <w:rPr>
          <w:rFonts w:ascii="Arial" w:hAnsi="Arial" w:cs="Arial"/>
          <w:bCs/>
          <w:iCs/>
          <w:color w:val="002060"/>
          <w:sz w:val="18"/>
          <w:szCs w:val="18"/>
        </w:rPr>
        <w:t>3%</w:t>
      </w:r>
      <w:r w:rsidRPr="00CD0492">
        <w:rPr>
          <w:rFonts w:ascii="Arial" w:hAnsi="Arial" w:cs="Arial"/>
          <w:iCs/>
          <w:color w:val="002060"/>
          <w:sz w:val="18"/>
          <w:szCs w:val="18"/>
        </w:rPr>
        <w:t xml:space="preserve"> of the appraised easement value being purchased by the ADFP Trust Fund and must be equally matched</w:t>
      </w:r>
      <w:r w:rsidR="000D3F30" w:rsidRPr="00CD0492">
        <w:rPr>
          <w:rFonts w:ascii="Arial" w:hAnsi="Arial" w:cs="Arial"/>
          <w:i/>
          <w:iCs/>
          <w:color w:val="002060"/>
          <w:sz w:val="18"/>
          <w:szCs w:val="18"/>
        </w:rPr>
        <w:t xml:space="preserve"> or up to 1.5% of the appraised easement value of a donated conservation easement without match requirement.</w:t>
      </w:r>
      <w:r w:rsidRPr="00CD0492">
        <w:rPr>
          <w:rFonts w:ascii="Arial" w:hAnsi="Arial" w:cs="Arial"/>
          <w:iCs/>
          <w:color w:val="002060"/>
          <w:sz w:val="18"/>
          <w:szCs w:val="18"/>
        </w:rPr>
        <w:t xml:space="preserve">  The ADFP Trust Fund shall approve the administrative account </w:t>
      </w:r>
      <w:proofErr w:type="gramStart"/>
      <w:r w:rsidRPr="00CD0492">
        <w:rPr>
          <w:rFonts w:ascii="Arial" w:hAnsi="Arial" w:cs="Arial"/>
          <w:iCs/>
          <w:color w:val="002060"/>
          <w:sz w:val="18"/>
          <w:szCs w:val="18"/>
        </w:rPr>
        <w:t>management</w:t>
      </w:r>
      <w:proofErr w:type="gramEnd"/>
      <w:r w:rsidRPr="00CD0492">
        <w:rPr>
          <w:rFonts w:ascii="Arial" w:hAnsi="Arial" w:cs="Arial"/>
          <w:iCs/>
          <w:color w:val="002060"/>
          <w:sz w:val="18"/>
          <w:szCs w:val="18"/>
        </w:rPr>
        <w:t xml:space="preserve"> and the monitoring / stewardship polices of the easement holder. The grant funding will be restricted to expenditures associated with monitoring and stewardship of the property. </w:t>
      </w:r>
      <w:r w:rsidRPr="00CD0492">
        <w:rPr>
          <w:rFonts w:ascii="Arial" w:hAnsi="Arial" w:cs="Arial"/>
          <w:bCs/>
          <w:color w:val="002060"/>
          <w:sz w:val="18"/>
          <w:szCs w:val="18"/>
        </w:rPr>
        <w:t>(</w:t>
      </w:r>
      <w:r w:rsidRPr="00CD0492">
        <w:rPr>
          <w:rFonts w:ascii="Arial" w:hAnsi="Arial" w:cs="Arial"/>
          <w:bCs/>
          <w:i/>
          <w:color w:val="002060"/>
          <w:sz w:val="18"/>
          <w:szCs w:val="18"/>
        </w:rPr>
        <w:t xml:space="preserve">Approved </w:t>
      </w:r>
      <w:r w:rsidR="000F194A" w:rsidRPr="00CD0492">
        <w:rPr>
          <w:rFonts w:ascii="Arial" w:hAnsi="Arial" w:cs="Arial"/>
          <w:bCs/>
          <w:i/>
          <w:color w:val="002060"/>
          <w:sz w:val="18"/>
          <w:szCs w:val="18"/>
        </w:rPr>
        <w:t>2/22/17</w:t>
      </w:r>
      <w:r w:rsidRPr="00CD0492">
        <w:rPr>
          <w:rFonts w:ascii="Arial" w:hAnsi="Arial" w:cs="Arial"/>
          <w:bCs/>
          <w:i/>
          <w:color w:val="002060"/>
          <w:sz w:val="18"/>
          <w:szCs w:val="18"/>
        </w:rPr>
        <w:t>)</w:t>
      </w:r>
    </w:p>
    <w:p w14:paraId="353DA37A" w14:textId="77777777" w:rsidR="00AD79EC" w:rsidRDefault="00AD79EC" w:rsidP="009E5D0F">
      <w:pPr>
        <w:pStyle w:val="NormalWeb"/>
        <w:rPr>
          <w:rFonts w:ascii="Arial" w:hAnsi="Arial" w:cs="Arial"/>
          <w:b/>
          <w:bCs/>
          <w:color w:val="002060"/>
          <w:sz w:val="18"/>
          <w:szCs w:val="18"/>
          <w:u w:val="single"/>
        </w:rPr>
      </w:pPr>
      <w:r w:rsidRPr="00AD79EC">
        <w:rPr>
          <w:rFonts w:ascii="Arial" w:hAnsi="Arial" w:cs="Arial"/>
          <w:b/>
          <w:bCs/>
          <w:color w:val="002060"/>
          <w:sz w:val="18"/>
          <w:szCs w:val="18"/>
          <w:u w:val="single"/>
        </w:rPr>
        <w:t>Property Eligibility Requirements</w:t>
      </w:r>
    </w:p>
    <w:p w14:paraId="35159B08" w14:textId="77777777" w:rsidR="004B6B01" w:rsidRPr="004B6B01" w:rsidRDefault="004B6B01" w:rsidP="004B6B01">
      <w:pPr>
        <w:rPr>
          <w:rFonts w:ascii="Arial" w:hAnsi="Arial" w:cs="Arial"/>
          <w:color w:val="002060"/>
          <w:sz w:val="18"/>
          <w:szCs w:val="18"/>
        </w:rPr>
      </w:pPr>
      <w:r w:rsidRPr="004B6B01">
        <w:rPr>
          <w:rFonts w:ascii="Arial" w:hAnsi="Arial" w:cs="Arial"/>
          <w:color w:val="002060"/>
          <w:sz w:val="18"/>
          <w:szCs w:val="18"/>
        </w:rPr>
        <w:t xml:space="preserve">To be eligible for a conservation easement through the ADFP Trust Fund’s program, the property must be privately-owned, located within the borders of the State of North Carolina, and in working lands use (agriculture, horticulture, forestry). At least one tract must meet the following minimum acreage requirements: </w:t>
      </w:r>
    </w:p>
    <w:p w14:paraId="18E94EB6" w14:textId="77777777" w:rsidR="004B6B01" w:rsidRPr="004B6B01" w:rsidRDefault="004B6B01" w:rsidP="004B6B01">
      <w:pPr>
        <w:numPr>
          <w:ilvl w:val="0"/>
          <w:numId w:val="20"/>
        </w:numPr>
        <w:rPr>
          <w:rFonts w:ascii="Arial" w:hAnsi="Arial" w:cs="Arial"/>
          <w:color w:val="002060"/>
          <w:sz w:val="18"/>
          <w:szCs w:val="18"/>
        </w:rPr>
      </w:pPr>
      <w:r w:rsidRPr="004B6B01">
        <w:rPr>
          <w:rFonts w:ascii="Arial" w:hAnsi="Arial" w:cs="Arial"/>
          <w:color w:val="002060"/>
          <w:sz w:val="18"/>
          <w:szCs w:val="18"/>
        </w:rPr>
        <w:t>5 acres in actual horticultural production (actively engaged in the commercial production or growing of fruits and vegetables or nursery and floral products);</w:t>
      </w:r>
    </w:p>
    <w:p w14:paraId="497D5690" w14:textId="77777777" w:rsidR="004B6B01" w:rsidRPr="004B6B01" w:rsidRDefault="004B6B01" w:rsidP="004B6B01">
      <w:pPr>
        <w:numPr>
          <w:ilvl w:val="0"/>
          <w:numId w:val="20"/>
        </w:numPr>
        <w:rPr>
          <w:rFonts w:ascii="Arial" w:hAnsi="Arial" w:cs="Arial"/>
          <w:color w:val="002060"/>
          <w:sz w:val="18"/>
          <w:szCs w:val="18"/>
        </w:rPr>
      </w:pPr>
      <w:r w:rsidRPr="004B6B01">
        <w:rPr>
          <w:rFonts w:ascii="Arial" w:hAnsi="Arial" w:cs="Arial"/>
          <w:color w:val="002060"/>
          <w:sz w:val="18"/>
          <w:szCs w:val="18"/>
        </w:rPr>
        <w:lastRenderedPageBreak/>
        <w:t xml:space="preserve">10 acres in actual agricultural production (actively engaged in the commercial production or growing of crops, plants, or animals; which includes dairying and the raising, management, care, and training of livestock, including horses, bees, poultry, and other animals for individual and public use, consumption, and marketing. The raising, management, care, and training of horses includes the boarding of horses);  </w:t>
      </w:r>
    </w:p>
    <w:p w14:paraId="686E9FDC" w14:textId="77777777" w:rsidR="004B6B01" w:rsidRPr="004B6B01" w:rsidRDefault="004B6B01" w:rsidP="004B6B01">
      <w:pPr>
        <w:numPr>
          <w:ilvl w:val="0"/>
          <w:numId w:val="20"/>
        </w:numPr>
        <w:rPr>
          <w:rFonts w:ascii="Arial" w:hAnsi="Arial" w:cs="Arial"/>
          <w:color w:val="002060"/>
          <w:sz w:val="18"/>
          <w:szCs w:val="18"/>
        </w:rPr>
      </w:pPr>
      <w:r w:rsidRPr="004B6B01">
        <w:rPr>
          <w:rFonts w:ascii="Arial" w:hAnsi="Arial" w:cs="Arial"/>
          <w:color w:val="002060"/>
          <w:sz w:val="18"/>
          <w:szCs w:val="18"/>
        </w:rPr>
        <w:t>20 acres in actual forestry production (actively engaged in the commercial growing of trees).</w:t>
      </w:r>
    </w:p>
    <w:p w14:paraId="76F7BB0C" w14:textId="77777777" w:rsidR="004B6B01" w:rsidRPr="004B6B01" w:rsidRDefault="004B6B01" w:rsidP="004B6B01">
      <w:pPr>
        <w:rPr>
          <w:rFonts w:ascii="Arial" w:hAnsi="Arial" w:cs="Arial"/>
          <w:i/>
          <w:iCs/>
          <w:color w:val="002060"/>
          <w:sz w:val="18"/>
          <w:szCs w:val="18"/>
        </w:rPr>
      </w:pPr>
      <w:r w:rsidRPr="004B6B01">
        <w:rPr>
          <w:rFonts w:ascii="Arial" w:hAnsi="Arial" w:cs="Arial"/>
          <w:color w:val="002060"/>
          <w:sz w:val="18"/>
          <w:szCs w:val="18"/>
        </w:rPr>
        <w:t>Land with farm structures, which are nonresidential buildings or structures used for a bona fide farm use, may be used to meet minimum acreage requirements. Land that is not in production, residences, and nonfarm structures are ineligible to meet the minimum acreage requirements. If there are existing easements that have removed the development rights from the property, those easement areas will be ineligible for the program and do not count towards the minimum acreage requirements. (</w:t>
      </w:r>
      <w:r w:rsidRPr="004B6B01">
        <w:rPr>
          <w:rFonts w:ascii="Arial" w:hAnsi="Arial" w:cs="Arial"/>
          <w:i/>
          <w:iCs/>
          <w:color w:val="002060"/>
          <w:sz w:val="18"/>
          <w:szCs w:val="18"/>
        </w:rPr>
        <w:t>Approved 9-2-25)</w:t>
      </w:r>
    </w:p>
    <w:p w14:paraId="3EAAB22D" w14:textId="77777777" w:rsidR="004B6B01" w:rsidRDefault="004B6B01">
      <w:pPr>
        <w:rPr>
          <w:rFonts w:ascii="Arial" w:hAnsi="Arial" w:cs="Arial"/>
          <w:b/>
          <w:color w:val="002060"/>
          <w:sz w:val="22"/>
          <w:szCs w:val="22"/>
          <w:u w:val="single"/>
        </w:rPr>
      </w:pPr>
    </w:p>
    <w:p w14:paraId="09C61E37" w14:textId="7B5673F0" w:rsidR="00C75E29" w:rsidRPr="00CD0492" w:rsidRDefault="00E71DD8">
      <w:pPr>
        <w:rPr>
          <w:rFonts w:ascii="Arial" w:hAnsi="Arial" w:cs="Arial"/>
          <w:b/>
          <w:color w:val="002060"/>
          <w:sz w:val="22"/>
          <w:szCs w:val="22"/>
          <w:u w:val="single"/>
        </w:rPr>
      </w:pPr>
      <w:r w:rsidRPr="00CD0492">
        <w:rPr>
          <w:rFonts w:ascii="Arial" w:hAnsi="Arial" w:cs="Arial"/>
          <w:b/>
          <w:color w:val="002060"/>
          <w:sz w:val="22"/>
          <w:szCs w:val="22"/>
          <w:u w:val="single"/>
        </w:rPr>
        <w:t>Contract</w:t>
      </w:r>
      <w:r w:rsidR="00BC7AF7" w:rsidRPr="00CD0492">
        <w:rPr>
          <w:rFonts w:ascii="Arial" w:hAnsi="Arial" w:cs="Arial"/>
          <w:b/>
          <w:color w:val="002060"/>
          <w:sz w:val="22"/>
          <w:szCs w:val="22"/>
          <w:u w:val="single"/>
        </w:rPr>
        <w:t>s</w:t>
      </w:r>
    </w:p>
    <w:p w14:paraId="1081C853" w14:textId="77777777" w:rsidR="00E71DD8" w:rsidRPr="00CD0492" w:rsidRDefault="00E71DD8">
      <w:pPr>
        <w:rPr>
          <w:rFonts w:ascii="Arial" w:hAnsi="Arial" w:cs="Arial"/>
          <w:b/>
          <w:color w:val="002060"/>
          <w:sz w:val="22"/>
          <w:szCs w:val="22"/>
          <w:u w:val="single"/>
        </w:rPr>
      </w:pPr>
    </w:p>
    <w:p w14:paraId="5DEECF4C" w14:textId="77777777" w:rsidR="00BC7AF7" w:rsidRPr="00CD0492" w:rsidRDefault="00BC7AF7">
      <w:pPr>
        <w:rPr>
          <w:rFonts w:ascii="Arial" w:hAnsi="Arial" w:cs="Arial"/>
          <w:color w:val="002060"/>
          <w:sz w:val="18"/>
          <w:szCs w:val="18"/>
        </w:rPr>
      </w:pPr>
      <w:r w:rsidRPr="00CD0492">
        <w:rPr>
          <w:rFonts w:ascii="Arial" w:hAnsi="Arial" w:cs="Arial"/>
          <w:b/>
          <w:color w:val="002060"/>
          <w:sz w:val="18"/>
          <w:szCs w:val="18"/>
        </w:rPr>
        <w:t xml:space="preserve">Determination: </w:t>
      </w:r>
      <w:r w:rsidR="00A34649" w:rsidRPr="00CD0492">
        <w:rPr>
          <w:rFonts w:ascii="Arial" w:hAnsi="Arial" w:cs="Arial"/>
          <w:b/>
          <w:color w:val="002060"/>
          <w:sz w:val="18"/>
          <w:szCs w:val="18"/>
        </w:rPr>
        <w:t xml:space="preserve"> </w:t>
      </w:r>
      <w:r w:rsidR="00A34649" w:rsidRPr="00CD0492">
        <w:rPr>
          <w:rFonts w:ascii="Arial" w:hAnsi="Arial" w:cs="Arial"/>
          <w:color w:val="002060"/>
          <w:sz w:val="18"/>
          <w:szCs w:val="18"/>
        </w:rPr>
        <w:t xml:space="preserve">If a selected grant recipient fails to return a completed grant contract by </w:t>
      </w:r>
      <w:r w:rsidR="00246D84" w:rsidRPr="00CD0492">
        <w:rPr>
          <w:rFonts w:ascii="Arial" w:hAnsi="Arial" w:cs="Arial"/>
          <w:color w:val="002060"/>
          <w:sz w:val="18"/>
          <w:szCs w:val="18"/>
        </w:rPr>
        <w:t xml:space="preserve">the </w:t>
      </w:r>
      <w:r w:rsidR="00A34649" w:rsidRPr="00CD0492">
        <w:rPr>
          <w:rFonts w:ascii="Arial" w:hAnsi="Arial" w:cs="Arial"/>
          <w:color w:val="002060"/>
          <w:sz w:val="18"/>
          <w:szCs w:val="18"/>
        </w:rPr>
        <w:t xml:space="preserve">stipulated deadline, ADFP Trust Fund will notify the selected grant recipient </w:t>
      </w:r>
      <w:r w:rsidR="00246D84" w:rsidRPr="00CD0492">
        <w:rPr>
          <w:rFonts w:ascii="Arial" w:hAnsi="Arial" w:cs="Arial"/>
          <w:color w:val="002060"/>
          <w:sz w:val="18"/>
          <w:szCs w:val="18"/>
        </w:rPr>
        <w:t>in writing</w:t>
      </w:r>
      <w:r w:rsidR="00A34649" w:rsidRPr="00CD0492">
        <w:rPr>
          <w:rFonts w:ascii="Arial" w:hAnsi="Arial" w:cs="Arial"/>
          <w:color w:val="002060"/>
          <w:sz w:val="18"/>
          <w:szCs w:val="18"/>
        </w:rPr>
        <w:t xml:space="preserve"> as a warning.  The selected grant recipient will be allowed a grace period of 10 working days from the date of correspondence to return the completed contract.  After the stipulated grace period the </w:t>
      </w:r>
      <w:r w:rsidR="00246D84" w:rsidRPr="00CD0492">
        <w:rPr>
          <w:rFonts w:ascii="Arial" w:hAnsi="Arial" w:cs="Arial"/>
          <w:color w:val="002060"/>
          <w:sz w:val="18"/>
          <w:szCs w:val="18"/>
        </w:rPr>
        <w:t>offer</w:t>
      </w:r>
      <w:r w:rsidR="00A34649" w:rsidRPr="00CD0492">
        <w:rPr>
          <w:rFonts w:ascii="Arial" w:hAnsi="Arial" w:cs="Arial"/>
          <w:color w:val="002060"/>
          <w:sz w:val="18"/>
          <w:szCs w:val="18"/>
        </w:rPr>
        <w:t xml:space="preserve"> will </w:t>
      </w:r>
      <w:r w:rsidR="00246D84" w:rsidRPr="00CD0492">
        <w:rPr>
          <w:rFonts w:ascii="Arial" w:hAnsi="Arial" w:cs="Arial"/>
          <w:color w:val="002060"/>
          <w:sz w:val="18"/>
          <w:szCs w:val="18"/>
        </w:rPr>
        <w:t xml:space="preserve">be </w:t>
      </w:r>
      <w:r w:rsidR="00A34649" w:rsidRPr="00CD0492">
        <w:rPr>
          <w:rFonts w:ascii="Arial" w:hAnsi="Arial" w:cs="Arial"/>
          <w:color w:val="002060"/>
          <w:sz w:val="18"/>
          <w:szCs w:val="18"/>
        </w:rPr>
        <w:t xml:space="preserve">rescinded </w:t>
      </w:r>
      <w:r w:rsidR="00246D84" w:rsidRPr="00CD0492">
        <w:rPr>
          <w:rFonts w:ascii="Arial" w:hAnsi="Arial" w:cs="Arial"/>
          <w:color w:val="002060"/>
          <w:sz w:val="18"/>
          <w:szCs w:val="18"/>
        </w:rPr>
        <w:t>and the grant funding reallocated.</w:t>
      </w:r>
      <w:r w:rsidR="00840127" w:rsidRPr="00CD0492">
        <w:rPr>
          <w:rFonts w:ascii="Arial" w:hAnsi="Arial" w:cs="Arial"/>
          <w:color w:val="002060"/>
          <w:sz w:val="18"/>
          <w:szCs w:val="18"/>
        </w:rPr>
        <w:t xml:space="preserve"> </w:t>
      </w:r>
      <w:r w:rsidR="00840127" w:rsidRPr="00CD0492">
        <w:rPr>
          <w:rStyle w:val="Strong"/>
          <w:rFonts w:ascii="Arial" w:hAnsi="Arial" w:cs="Arial"/>
          <w:b w:val="0"/>
          <w:i/>
          <w:color w:val="002060"/>
          <w:sz w:val="18"/>
          <w:szCs w:val="18"/>
        </w:rPr>
        <w:t>(Approved 12-09-08)</w:t>
      </w:r>
    </w:p>
    <w:p w14:paraId="2D938AD3" w14:textId="77777777" w:rsidR="00E71DD8" w:rsidRPr="00CD0492" w:rsidRDefault="00E71DD8">
      <w:pPr>
        <w:rPr>
          <w:rFonts w:ascii="Arial" w:hAnsi="Arial" w:cs="Arial"/>
          <w:color w:val="002060"/>
          <w:sz w:val="18"/>
          <w:szCs w:val="18"/>
        </w:rPr>
      </w:pPr>
    </w:p>
    <w:p w14:paraId="10418FEE" w14:textId="7305F275" w:rsidR="0038435C" w:rsidRPr="00CD0492" w:rsidRDefault="0038435C">
      <w:pPr>
        <w:rPr>
          <w:rStyle w:val="Strong"/>
          <w:rFonts w:ascii="Arial" w:hAnsi="Arial" w:cs="Arial"/>
          <w:b w:val="0"/>
          <w:i/>
          <w:color w:val="002060"/>
          <w:sz w:val="18"/>
          <w:szCs w:val="18"/>
        </w:rPr>
      </w:pPr>
      <w:r w:rsidRPr="00CD0492">
        <w:rPr>
          <w:rFonts w:ascii="Arial" w:hAnsi="Arial" w:cs="Arial"/>
          <w:b/>
          <w:color w:val="002060"/>
          <w:sz w:val="18"/>
          <w:szCs w:val="18"/>
        </w:rPr>
        <w:t xml:space="preserve">Grant Recipient Eligibility: </w:t>
      </w:r>
      <w:r w:rsidRPr="00CD0492">
        <w:rPr>
          <w:rFonts w:ascii="Arial" w:hAnsi="Arial" w:cs="Arial"/>
          <w:color w:val="002060"/>
          <w:sz w:val="18"/>
          <w:szCs w:val="18"/>
        </w:rPr>
        <w:t xml:space="preserve"> Recipients must be either a North Carolina county entity or a non-profit conservation organization.  Any non-profit conservation organization whose headquarters are outside North Carolina </w:t>
      </w:r>
      <w:r w:rsidR="0079211F" w:rsidRPr="00CD0492">
        <w:rPr>
          <w:rFonts w:ascii="Arial" w:hAnsi="Arial" w:cs="Arial"/>
          <w:color w:val="002060"/>
          <w:sz w:val="18"/>
          <w:szCs w:val="18"/>
        </w:rPr>
        <w:t>must maintain</w:t>
      </w:r>
      <w:r w:rsidRPr="00CD0492">
        <w:rPr>
          <w:rFonts w:ascii="Arial" w:hAnsi="Arial" w:cs="Arial"/>
          <w:color w:val="002060"/>
          <w:sz w:val="18"/>
          <w:szCs w:val="18"/>
        </w:rPr>
        <w:t xml:space="preserve"> an office in North Carolina and be registered with the North Carolina Secretary of State</w:t>
      </w:r>
      <w:r w:rsidR="00FB7EBE" w:rsidRPr="00CD0492">
        <w:rPr>
          <w:rFonts w:ascii="Arial" w:hAnsi="Arial" w:cs="Arial"/>
          <w:color w:val="002060"/>
          <w:sz w:val="18"/>
          <w:szCs w:val="18"/>
        </w:rPr>
        <w:t>'</w:t>
      </w:r>
      <w:r w:rsidRPr="00CD0492">
        <w:rPr>
          <w:rFonts w:ascii="Arial" w:hAnsi="Arial" w:cs="Arial"/>
          <w:color w:val="002060"/>
          <w:sz w:val="18"/>
          <w:szCs w:val="18"/>
        </w:rPr>
        <w:t xml:space="preserve">s office.  </w:t>
      </w:r>
      <w:r w:rsidR="00840127" w:rsidRPr="00CD0492">
        <w:rPr>
          <w:rStyle w:val="Strong"/>
          <w:rFonts w:ascii="Arial" w:hAnsi="Arial" w:cs="Arial"/>
          <w:b w:val="0"/>
          <w:i/>
          <w:color w:val="002060"/>
          <w:sz w:val="18"/>
          <w:szCs w:val="18"/>
        </w:rPr>
        <w:t>(Approved 12-09-08)</w:t>
      </w:r>
    </w:p>
    <w:p w14:paraId="3E3B57AE" w14:textId="77777777" w:rsidR="00D90D95" w:rsidRPr="00CD0492" w:rsidRDefault="00D90D95">
      <w:pPr>
        <w:rPr>
          <w:rStyle w:val="Strong"/>
          <w:rFonts w:ascii="Arial" w:hAnsi="Arial" w:cs="Arial"/>
          <w:b w:val="0"/>
          <w:i/>
          <w:color w:val="002060"/>
          <w:sz w:val="18"/>
          <w:szCs w:val="18"/>
        </w:rPr>
      </w:pPr>
    </w:p>
    <w:p w14:paraId="059F8D39" w14:textId="4D0B383D" w:rsidR="00D90D95" w:rsidRPr="00CD0492" w:rsidRDefault="00D90D95" w:rsidP="00855158">
      <w:pPr>
        <w:rPr>
          <w:rFonts w:ascii="Arial" w:hAnsi="Arial" w:cs="Arial"/>
          <w:color w:val="002060"/>
          <w:sz w:val="18"/>
          <w:szCs w:val="18"/>
        </w:rPr>
      </w:pPr>
      <w:r w:rsidRPr="00CD0492">
        <w:rPr>
          <w:rFonts w:ascii="Arial" w:hAnsi="Arial" w:cs="Arial"/>
          <w:b/>
          <w:color w:val="002060"/>
          <w:sz w:val="18"/>
          <w:szCs w:val="18"/>
        </w:rPr>
        <w:t xml:space="preserve">Contract Extensions: </w:t>
      </w:r>
      <w:r w:rsidR="009D43C2" w:rsidRPr="009D43C2">
        <w:rPr>
          <w:rFonts w:ascii="Arial" w:hAnsi="Arial" w:cs="Arial"/>
          <w:color w:val="002060"/>
          <w:sz w:val="18"/>
          <w:szCs w:val="18"/>
        </w:rPr>
        <w:t>Extension requests and all required documentation must be received by ADFP Trust Fund a minimum of 60 days prior to the contract termination date. For ADFP Trust Fund contracts that do not include associated requests for USDA-NRCS funding issued under an initial two-year term, a maximum of two extension requests for one year each may be granted, bringing the maximum term to four years. For contracts with associated requests for USDA-NRCS funding issued under an initial three-year term, a maximum of one extension request for one year may be granted, bringing the maximum term to four years. The Grantee may request an emergency one-year extension due to the death of a landowner or severe illness or incapacitation of a landowner.</w:t>
      </w:r>
      <w:r w:rsidR="00855158" w:rsidRPr="00CD0492">
        <w:rPr>
          <w:rStyle w:val="Strong"/>
          <w:rFonts w:ascii="Arial" w:hAnsi="Arial" w:cs="Arial"/>
          <w:b w:val="0"/>
          <w:i/>
          <w:color w:val="002060"/>
          <w:sz w:val="18"/>
          <w:szCs w:val="18"/>
        </w:rPr>
        <w:t xml:space="preserve"> (Approved </w:t>
      </w:r>
      <w:r w:rsidR="009D43C2">
        <w:rPr>
          <w:rStyle w:val="Strong"/>
          <w:rFonts w:ascii="Arial" w:hAnsi="Arial" w:cs="Arial"/>
          <w:b w:val="0"/>
          <w:i/>
          <w:color w:val="002060"/>
          <w:sz w:val="18"/>
          <w:szCs w:val="18"/>
        </w:rPr>
        <w:t>8</w:t>
      </w:r>
      <w:r w:rsidR="00855158" w:rsidRPr="00CD0492">
        <w:rPr>
          <w:rStyle w:val="Strong"/>
          <w:rFonts w:ascii="Arial" w:hAnsi="Arial" w:cs="Arial"/>
          <w:b w:val="0"/>
          <w:i/>
          <w:color w:val="002060"/>
          <w:sz w:val="18"/>
          <w:szCs w:val="18"/>
        </w:rPr>
        <w:t>-</w:t>
      </w:r>
      <w:r w:rsidR="009D43C2">
        <w:rPr>
          <w:rStyle w:val="Strong"/>
          <w:rFonts w:ascii="Arial" w:hAnsi="Arial" w:cs="Arial"/>
          <w:b w:val="0"/>
          <w:i/>
          <w:color w:val="002060"/>
          <w:sz w:val="18"/>
          <w:szCs w:val="18"/>
        </w:rPr>
        <w:t>23</w:t>
      </w:r>
      <w:r w:rsidR="00855158" w:rsidRPr="00CD0492">
        <w:rPr>
          <w:rStyle w:val="Strong"/>
          <w:rFonts w:ascii="Arial" w:hAnsi="Arial" w:cs="Arial"/>
          <w:b w:val="0"/>
          <w:i/>
          <w:color w:val="002060"/>
          <w:sz w:val="18"/>
          <w:szCs w:val="18"/>
        </w:rPr>
        <w:t>-</w:t>
      </w:r>
      <w:r w:rsidR="009D43C2">
        <w:rPr>
          <w:rStyle w:val="Strong"/>
          <w:rFonts w:ascii="Arial" w:hAnsi="Arial" w:cs="Arial"/>
          <w:b w:val="0"/>
          <w:i/>
          <w:color w:val="002060"/>
          <w:sz w:val="18"/>
          <w:szCs w:val="18"/>
        </w:rPr>
        <w:t>23</w:t>
      </w:r>
      <w:r w:rsidR="00855158" w:rsidRPr="00CD0492">
        <w:rPr>
          <w:rStyle w:val="Strong"/>
          <w:rFonts w:ascii="Arial" w:hAnsi="Arial" w:cs="Arial"/>
          <w:b w:val="0"/>
          <w:i/>
          <w:color w:val="002060"/>
          <w:sz w:val="18"/>
          <w:szCs w:val="18"/>
        </w:rPr>
        <w:t>)</w:t>
      </w:r>
    </w:p>
    <w:p w14:paraId="54F98378" w14:textId="77777777" w:rsidR="00D90D95" w:rsidRPr="00CD0492" w:rsidRDefault="00D90D95" w:rsidP="00D90D95">
      <w:pPr>
        <w:rPr>
          <w:rFonts w:ascii="Arial" w:hAnsi="Arial" w:cs="Arial"/>
          <w:color w:val="002060"/>
          <w:sz w:val="18"/>
          <w:szCs w:val="18"/>
        </w:rPr>
      </w:pPr>
    </w:p>
    <w:p w14:paraId="0335828A" w14:textId="77777777" w:rsidR="00855158" w:rsidRPr="00CD0492" w:rsidRDefault="00D90D95" w:rsidP="00855158">
      <w:pPr>
        <w:rPr>
          <w:rStyle w:val="Strong"/>
          <w:rFonts w:ascii="Arial" w:hAnsi="Arial" w:cs="Arial"/>
          <w:b w:val="0"/>
          <w:i/>
          <w:color w:val="002060"/>
          <w:sz w:val="18"/>
          <w:szCs w:val="18"/>
        </w:rPr>
      </w:pPr>
      <w:r w:rsidRPr="00CD0492">
        <w:rPr>
          <w:rFonts w:ascii="Arial" w:hAnsi="Arial" w:cs="Arial"/>
          <w:b/>
          <w:color w:val="002060"/>
          <w:sz w:val="18"/>
          <w:szCs w:val="18"/>
        </w:rPr>
        <w:t xml:space="preserve">Subcontracting: </w:t>
      </w:r>
      <w:r w:rsidRPr="00CD0492">
        <w:rPr>
          <w:rFonts w:ascii="Arial" w:hAnsi="Arial" w:cs="Arial"/>
          <w:color w:val="002060"/>
          <w:sz w:val="18"/>
          <w:szCs w:val="18"/>
        </w:rPr>
        <w:t xml:space="preserve">The Grantee shall not subcontract any of the work contemplated under ADFP Trust Fund Contract without prior written approval.  Any approved subcontract shall by subject to all conditions of the ADFP Trust Fund Contract.  Only the subcontractors or subgrantees specified in the contract documents are to be considered approved upon award of the contract.  The ADFP Trust Fund shall not be obligated to pay for any work performed by any unapproved subcontractor or subgrantee.  The Grantee shall be responsible for the performance of </w:t>
      </w:r>
      <w:proofErr w:type="gramStart"/>
      <w:r w:rsidRPr="00CD0492">
        <w:rPr>
          <w:rFonts w:ascii="Arial" w:hAnsi="Arial" w:cs="Arial"/>
          <w:color w:val="002060"/>
          <w:sz w:val="18"/>
          <w:szCs w:val="18"/>
        </w:rPr>
        <w:t>all of</w:t>
      </w:r>
      <w:proofErr w:type="gramEnd"/>
      <w:r w:rsidRPr="00CD0492">
        <w:rPr>
          <w:rFonts w:ascii="Arial" w:hAnsi="Arial" w:cs="Arial"/>
          <w:color w:val="002060"/>
          <w:sz w:val="18"/>
          <w:szCs w:val="18"/>
        </w:rPr>
        <w:t xml:space="preserve"> its subgrantees and shall not be relieved of any of the duties and responsibilities stipulated in the ADFP Trust Fund Contract.  </w:t>
      </w:r>
      <w:r w:rsidR="00855158" w:rsidRPr="00CD0492">
        <w:rPr>
          <w:rStyle w:val="Strong"/>
          <w:rFonts w:ascii="Arial" w:hAnsi="Arial" w:cs="Arial"/>
          <w:b w:val="0"/>
          <w:i/>
          <w:color w:val="002060"/>
          <w:sz w:val="18"/>
          <w:szCs w:val="18"/>
        </w:rPr>
        <w:t>(Approved 12-09-08)</w:t>
      </w:r>
    </w:p>
    <w:p w14:paraId="36DDA9D9" w14:textId="3F648841" w:rsidR="004F11EB" w:rsidRDefault="004F11EB" w:rsidP="00855158">
      <w:pPr>
        <w:rPr>
          <w:rFonts w:ascii="Arial" w:hAnsi="Arial" w:cs="Arial"/>
          <w:color w:val="002060"/>
          <w:sz w:val="18"/>
          <w:szCs w:val="18"/>
        </w:rPr>
      </w:pPr>
    </w:p>
    <w:p w14:paraId="0ECC07C6" w14:textId="0C8E25A7" w:rsidR="00155AAF" w:rsidRPr="00BE4CD3" w:rsidRDefault="00BE4CD3" w:rsidP="00275B51">
      <w:pPr>
        <w:rPr>
          <w:rFonts w:ascii="Arial" w:hAnsi="Arial" w:cs="Arial"/>
          <w:color w:val="002060"/>
          <w:sz w:val="18"/>
          <w:szCs w:val="18"/>
        </w:rPr>
      </w:pPr>
      <w:r>
        <w:rPr>
          <w:rFonts w:ascii="Arial" w:hAnsi="Arial" w:cs="Arial"/>
          <w:b/>
          <w:bCs/>
          <w:color w:val="002060"/>
          <w:sz w:val="18"/>
          <w:szCs w:val="18"/>
        </w:rPr>
        <w:t>Contract Awards:</w:t>
      </w:r>
      <w:r>
        <w:rPr>
          <w:rFonts w:ascii="Arial" w:hAnsi="Arial" w:cs="Arial"/>
          <w:color w:val="002060"/>
          <w:sz w:val="18"/>
          <w:szCs w:val="18"/>
        </w:rPr>
        <w:t xml:space="preserve"> </w:t>
      </w:r>
      <w:r w:rsidR="00272C2B" w:rsidRPr="00272C2B">
        <w:rPr>
          <w:rFonts w:ascii="Arial" w:hAnsi="Arial" w:cs="Arial"/>
          <w:color w:val="002060"/>
          <w:sz w:val="18"/>
          <w:szCs w:val="18"/>
        </w:rPr>
        <w:t xml:space="preserve">Contract awards are based on funding availability. If total grant requests exceed the funding allocation for the grant cycle, the ADFP Trust Fund will fund a maximum of four (4) applications per category (perpetual easements, term easements, agricultural development projects, agricultural plans, additional funds, Agricultural Growth Zones) per applicant. Applications for donated easement proposals requesting only transaction cost assistance are not considered in this contract limit. If the funding allocation for the grant cycle is greater than the total grant requests, the contract maximum per applicant is waived for the grant cycle. The updated rule is effective starting with the Cycle 20 application period. </w:t>
      </w:r>
      <w:r w:rsidR="00EC5CD7">
        <w:rPr>
          <w:rFonts w:ascii="Arial" w:hAnsi="Arial" w:cs="Arial"/>
          <w:color w:val="002060"/>
          <w:sz w:val="18"/>
          <w:szCs w:val="18"/>
        </w:rPr>
        <w:t>(</w:t>
      </w:r>
      <w:r w:rsidR="006A5012">
        <w:rPr>
          <w:rFonts w:ascii="Arial" w:hAnsi="Arial" w:cs="Arial"/>
          <w:i/>
          <w:iCs/>
          <w:color w:val="002060"/>
          <w:sz w:val="18"/>
          <w:szCs w:val="18"/>
        </w:rPr>
        <w:t>Approved</w:t>
      </w:r>
      <w:r w:rsidR="00EC5CD7" w:rsidRPr="00EC5CD7">
        <w:rPr>
          <w:rFonts w:ascii="Arial" w:hAnsi="Arial" w:cs="Arial"/>
          <w:i/>
          <w:iCs/>
          <w:color w:val="002060"/>
          <w:sz w:val="18"/>
          <w:szCs w:val="18"/>
        </w:rPr>
        <w:t xml:space="preserve"> </w:t>
      </w:r>
      <w:r w:rsidR="00272C2B">
        <w:rPr>
          <w:rStyle w:val="Emphasis"/>
          <w:rFonts w:ascii="Arial" w:hAnsi="Arial" w:cs="Arial"/>
          <w:color w:val="002060"/>
          <w:sz w:val="18"/>
          <w:szCs w:val="18"/>
        </w:rPr>
        <w:t>6-23-26</w:t>
      </w:r>
      <w:r w:rsidR="00EC5CD7">
        <w:rPr>
          <w:rStyle w:val="Emphasis"/>
          <w:rFonts w:ascii="Arial" w:hAnsi="Arial" w:cs="Arial"/>
          <w:color w:val="002060"/>
          <w:sz w:val="18"/>
          <w:szCs w:val="18"/>
        </w:rPr>
        <w:t>)</w:t>
      </w:r>
    </w:p>
    <w:p w14:paraId="70C9A8C6" w14:textId="77777777" w:rsidR="004F11EB" w:rsidRPr="00CD0492" w:rsidRDefault="004F11EB" w:rsidP="00855158">
      <w:pPr>
        <w:rPr>
          <w:rFonts w:ascii="Arial" w:hAnsi="Arial" w:cs="Arial"/>
          <w:b/>
          <w:color w:val="002060"/>
          <w:sz w:val="18"/>
          <w:szCs w:val="18"/>
          <w:u w:val="single"/>
        </w:rPr>
      </w:pPr>
    </w:p>
    <w:p w14:paraId="39913517" w14:textId="456D5260" w:rsidR="00DE7FF4" w:rsidRPr="00CD0492" w:rsidRDefault="00DE7FF4" w:rsidP="00DE7FF4">
      <w:pPr>
        <w:rPr>
          <w:rFonts w:ascii="Arial" w:hAnsi="Arial" w:cs="Arial"/>
          <w:b/>
          <w:color w:val="002060"/>
          <w:u w:val="single"/>
        </w:rPr>
      </w:pPr>
      <w:r w:rsidRPr="00CD0492">
        <w:rPr>
          <w:rFonts w:ascii="Arial" w:hAnsi="Arial" w:cs="Arial"/>
          <w:b/>
          <w:color w:val="002060"/>
          <w:u w:val="single"/>
        </w:rPr>
        <w:t>Maintaining Grantee Eligibility Status</w:t>
      </w:r>
    </w:p>
    <w:p w14:paraId="53477BB6" w14:textId="7861CF1A" w:rsidR="00DE7FF4" w:rsidRPr="00CD0492" w:rsidRDefault="00DE7FF4" w:rsidP="00DE7FF4">
      <w:pPr>
        <w:rPr>
          <w:rFonts w:ascii="Arial" w:hAnsi="Arial" w:cs="Arial"/>
          <w:b/>
          <w:color w:val="002060"/>
          <w:u w:val="single"/>
        </w:rPr>
      </w:pPr>
    </w:p>
    <w:p w14:paraId="6B2EF804" w14:textId="1F03C64F" w:rsidR="00DE7FF4" w:rsidRPr="00CD0492" w:rsidRDefault="00DE7FF4" w:rsidP="00DE7FF4">
      <w:pPr>
        <w:rPr>
          <w:rFonts w:ascii="Arial" w:hAnsi="Arial" w:cs="Arial"/>
          <w:color w:val="002060"/>
          <w:sz w:val="20"/>
          <w:szCs w:val="20"/>
        </w:rPr>
      </w:pPr>
      <w:r w:rsidRPr="00CD0492">
        <w:rPr>
          <w:rFonts w:ascii="Arial" w:hAnsi="Arial" w:cs="Arial"/>
          <w:color w:val="002060"/>
          <w:sz w:val="20"/>
          <w:szCs w:val="20"/>
        </w:rPr>
        <w:t xml:space="preserve">ADFPTF shall </w:t>
      </w:r>
      <w:r w:rsidR="001B2DD1">
        <w:rPr>
          <w:rFonts w:ascii="Arial" w:hAnsi="Arial" w:cs="Arial"/>
          <w:color w:val="002060"/>
          <w:sz w:val="20"/>
          <w:szCs w:val="20"/>
        </w:rPr>
        <w:t>apply</w:t>
      </w:r>
      <w:r w:rsidRPr="00CD0492">
        <w:rPr>
          <w:rFonts w:ascii="Arial" w:hAnsi="Arial" w:cs="Arial"/>
          <w:color w:val="002060"/>
          <w:sz w:val="20"/>
          <w:szCs w:val="20"/>
        </w:rPr>
        <w:t xml:space="preserve"> the following guid</w:t>
      </w:r>
      <w:r w:rsidR="00AE1FE3" w:rsidRPr="00CD0492">
        <w:rPr>
          <w:rFonts w:ascii="Arial" w:hAnsi="Arial" w:cs="Arial"/>
          <w:color w:val="002060"/>
          <w:sz w:val="20"/>
          <w:szCs w:val="20"/>
        </w:rPr>
        <w:t>elines</w:t>
      </w:r>
      <w:r w:rsidRPr="00CD0492">
        <w:rPr>
          <w:rFonts w:ascii="Arial" w:hAnsi="Arial" w:cs="Arial"/>
          <w:color w:val="002060"/>
          <w:sz w:val="20"/>
          <w:szCs w:val="20"/>
        </w:rPr>
        <w:t xml:space="preserve"> </w:t>
      </w:r>
      <w:r w:rsidR="008F18A4">
        <w:rPr>
          <w:rFonts w:ascii="Arial" w:hAnsi="Arial" w:cs="Arial"/>
          <w:color w:val="002060"/>
          <w:sz w:val="20"/>
          <w:szCs w:val="20"/>
        </w:rPr>
        <w:t xml:space="preserve">when assessing </w:t>
      </w:r>
      <w:r w:rsidR="000815C9">
        <w:rPr>
          <w:rFonts w:ascii="Arial" w:hAnsi="Arial" w:cs="Arial"/>
          <w:color w:val="002060"/>
          <w:sz w:val="20"/>
          <w:szCs w:val="20"/>
        </w:rPr>
        <w:t xml:space="preserve">a grantee’s eligibility status </w:t>
      </w:r>
      <w:r w:rsidR="00CF59B3">
        <w:rPr>
          <w:rFonts w:ascii="Arial" w:hAnsi="Arial" w:cs="Arial"/>
          <w:color w:val="002060"/>
          <w:sz w:val="20"/>
          <w:szCs w:val="20"/>
        </w:rPr>
        <w:t>as a grant recipient</w:t>
      </w:r>
      <w:r w:rsidR="00CA5C51">
        <w:rPr>
          <w:rFonts w:ascii="Arial" w:hAnsi="Arial" w:cs="Arial"/>
          <w:color w:val="002060"/>
          <w:sz w:val="20"/>
          <w:szCs w:val="20"/>
        </w:rPr>
        <w:t>:</w:t>
      </w:r>
    </w:p>
    <w:p w14:paraId="03ED9916" w14:textId="77777777" w:rsidR="00DE7FF4" w:rsidRPr="00CD0492" w:rsidRDefault="00DE7FF4" w:rsidP="00DE7FF4">
      <w:pPr>
        <w:rPr>
          <w:rFonts w:ascii="Arial" w:hAnsi="Arial" w:cs="Arial"/>
          <w:color w:val="002060"/>
          <w:sz w:val="20"/>
          <w:szCs w:val="20"/>
        </w:rPr>
      </w:pPr>
    </w:p>
    <w:tbl>
      <w:tblPr>
        <w:tblStyle w:val="TableGrid"/>
        <w:tblW w:w="7920" w:type="dxa"/>
        <w:tblInd w:w="-5" w:type="dxa"/>
        <w:tblLook w:val="04A0" w:firstRow="1" w:lastRow="0" w:firstColumn="1" w:lastColumn="0" w:noHBand="0" w:noVBand="1"/>
      </w:tblPr>
      <w:tblGrid>
        <w:gridCol w:w="2250"/>
        <w:gridCol w:w="1620"/>
        <w:gridCol w:w="2070"/>
        <w:gridCol w:w="1980"/>
      </w:tblGrid>
      <w:tr w:rsidR="00E80D3B" w:rsidRPr="00777E5E" w14:paraId="3393A466" w14:textId="77777777" w:rsidTr="00E80D3B">
        <w:tc>
          <w:tcPr>
            <w:tcW w:w="2250" w:type="dxa"/>
            <w:vMerge w:val="restart"/>
            <w:shd w:val="clear" w:color="auto" w:fill="A6A6A6" w:themeFill="background1" w:themeFillShade="A6"/>
            <w:vAlign w:val="center"/>
          </w:tcPr>
          <w:p w14:paraId="177386D1" w14:textId="77777777" w:rsidR="00E80D3B" w:rsidRPr="00777E5E" w:rsidRDefault="00E80D3B" w:rsidP="00D740F4">
            <w:pPr>
              <w:jc w:val="center"/>
              <w:rPr>
                <w:rFonts w:ascii="Times New Roman" w:hAnsi="Times New Roman" w:cs="Times New Roman"/>
                <w:b/>
                <w:bCs/>
                <w:i/>
                <w:iCs/>
              </w:rPr>
            </w:pPr>
            <w:r w:rsidRPr="00777E5E">
              <w:rPr>
                <w:rFonts w:ascii="Times New Roman" w:hAnsi="Times New Roman" w:cs="Times New Roman"/>
                <w:b/>
                <w:bCs/>
                <w:i/>
                <w:iCs/>
              </w:rPr>
              <w:t>Frequency of Adverse Actions</w:t>
            </w:r>
          </w:p>
        </w:tc>
        <w:tc>
          <w:tcPr>
            <w:tcW w:w="5670" w:type="dxa"/>
            <w:gridSpan w:val="3"/>
            <w:shd w:val="clear" w:color="auto" w:fill="A6A6A6" w:themeFill="background1" w:themeFillShade="A6"/>
            <w:vAlign w:val="center"/>
          </w:tcPr>
          <w:p w14:paraId="4607C815" w14:textId="77777777" w:rsidR="00E80D3B" w:rsidRPr="00777E5E" w:rsidRDefault="00E80D3B" w:rsidP="00D740F4">
            <w:pPr>
              <w:jc w:val="center"/>
              <w:rPr>
                <w:rFonts w:ascii="Times New Roman" w:hAnsi="Times New Roman" w:cs="Times New Roman"/>
                <w:b/>
                <w:bCs/>
                <w:i/>
                <w:iCs/>
              </w:rPr>
            </w:pPr>
            <w:r w:rsidRPr="00777E5E">
              <w:rPr>
                <w:rFonts w:ascii="Times New Roman" w:hAnsi="Times New Roman" w:cs="Times New Roman"/>
                <w:b/>
                <w:bCs/>
                <w:i/>
                <w:iCs/>
              </w:rPr>
              <w:t>Severity of Consequences</w:t>
            </w:r>
          </w:p>
        </w:tc>
      </w:tr>
      <w:tr w:rsidR="00E80D3B" w:rsidRPr="00777E5E" w14:paraId="3F3C47CE" w14:textId="77777777" w:rsidTr="00E80D3B">
        <w:tc>
          <w:tcPr>
            <w:tcW w:w="2250" w:type="dxa"/>
            <w:vMerge/>
            <w:shd w:val="clear" w:color="auto" w:fill="A6A6A6" w:themeFill="background1" w:themeFillShade="A6"/>
            <w:vAlign w:val="center"/>
          </w:tcPr>
          <w:p w14:paraId="42169D91" w14:textId="77777777" w:rsidR="00E80D3B" w:rsidRPr="00777E5E" w:rsidRDefault="00E80D3B" w:rsidP="00D740F4">
            <w:pPr>
              <w:jc w:val="center"/>
              <w:rPr>
                <w:rFonts w:ascii="Times New Roman" w:hAnsi="Times New Roman" w:cs="Times New Roman"/>
              </w:rPr>
            </w:pPr>
          </w:p>
        </w:tc>
        <w:tc>
          <w:tcPr>
            <w:tcW w:w="1620" w:type="dxa"/>
            <w:shd w:val="clear" w:color="auto" w:fill="F2F2F2" w:themeFill="background1" w:themeFillShade="F2"/>
            <w:vAlign w:val="center"/>
          </w:tcPr>
          <w:p w14:paraId="78A7AC92" w14:textId="77777777" w:rsidR="00E80D3B" w:rsidRPr="008A04CC" w:rsidRDefault="00E80D3B" w:rsidP="00D740F4">
            <w:pPr>
              <w:jc w:val="center"/>
              <w:rPr>
                <w:rFonts w:ascii="Times New Roman" w:hAnsi="Times New Roman" w:cs="Times New Roman"/>
                <w:b/>
                <w:bCs/>
              </w:rPr>
            </w:pPr>
            <w:r w:rsidRPr="008A04CC">
              <w:rPr>
                <w:rFonts w:ascii="Times New Roman" w:hAnsi="Times New Roman" w:cs="Times New Roman"/>
                <w:b/>
                <w:bCs/>
              </w:rPr>
              <w:t>Low Severity</w:t>
            </w:r>
          </w:p>
        </w:tc>
        <w:tc>
          <w:tcPr>
            <w:tcW w:w="2070" w:type="dxa"/>
            <w:shd w:val="clear" w:color="auto" w:fill="F2F2F2" w:themeFill="background1" w:themeFillShade="F2"/>
            <w:vAlign w:val="center"/>
          </w:tcPr>
          <w:p w14:paraId="539468A1" w14:textId="77777777" w:rsidR="00E80D3B" w:rsidRPr="008A04CC" w:rsidRDefault="00E80D3B" w:rsidP="00D740F4">
            <w:pPr>
              <w:jc w:val="center"/>
              <w:rPr>
                <w:rFonts w:ascii="Times New Roman" w:hAnsi="Times New Roman" w:cs="Times New Roman"/>
                <w:b/>
                <w:bCs/>
              </w:rPr>
            </w:pPr>
            <w:r w:rsidRPr="008A04CC">
              <w:rPr>
                <w:rFonts w:ascii="Times New Roman" w:hAnsi="Times New Roman" w:cs="Times New Roman"/>
                <w:b/>
                <w:bCs/>
              </w:rPr>
              <w:t>Medium Severity</w:t>
            </w:r>
          </w:p>
        </w:tc>
        <w:tc>
          <w:tcPr>
            <w:tcW w:w="1980" w:type="dxa"/>
            <w:shd w:val="clear" w:color="auto" w:fill="F2F2F2" w:themeFill="background1" w:themeFillShade="F2"/>
            <w:vAlign w:val="center"/>
          </w:tcPr>
          <w:p w14:paraId="7F7ED19C" w14:textId="77777777" w:rsidR="00E80D3B" w:rsidRPr="008A04CC" w:rsidRDefault="00E80D3B" w:rsidP="00D740F4">
            <w:pPr>
              <w:jc w:val="center"/>
              <w:rPr>
                <w:rFonts w:ascii="Times New Roman" w:hAnsi="Times New Roman" w:cs="Times New Roman"/>
                <w:b/>
                <w:bCs/>
              </w:rPr>
            </w:pPr>
            <w:r w:rsidRPr="008A04CC">
              <w:rPr>
                <w:rFonts w:ascii="Times New Roman" w:hAnsi="Times New Roman" w:cs="Times New Roman"/>
                <w:b/>
                <w:bCs/>
              </w:rPr>
              <w:t>High Severity</w:t>
            </w:r>
          </w:p>
        </w:tc>
      </w:tr>
      <w:tr w:rsidR="00E80D3B" w:rsidRPr="00777E5E" w14:paraId="248710B3" w14:textId="77777777" w:rsidTr="00E80D3B">
        <w:tc>
          <w:tcPr>
            <w:tcW w:w="2250" w:type="dxa"/>
            <w:shd w:val="clear" w:color="auto" w:fill="F2F2F2" w:themeFill="background1" w:themeFillShade="F2"/>
            <w:vAlign w:val="center"/>
          </w:tcPr>
          <w:p w14:paraId="069B86AD" w14:textId="77777777" w:rsidR="00E80D3B" w:rsidRPr="00777E5E" w:rsidRDefault="00E80D3B" w:rsidP="00D740F4">
            <w:pPr>
              <w:jc w:val="center"/>
              <w:rPr>
                <w:rFonts w:ascii="Times New Roman" w:hAnsi="Times New Roman" w:cs="Times New Roman"/>
              </w:rPr>
            </w:pPr>
            <w:r w:rsidRPr="008A04CC">
              <w:rPr>
                <w:rFonts w:ascii="Times New Roman" w:hAnsi="Times New Roman" w:cs="Times New Roman"/>
                <w:b/>
                <w:bCs/>
              </w:rPr>
              <w:t>High Frequency</w:t>
            </w:r>
            <w:r>
              <w:rPr>
                <w:rFonts w:ascii="Times New Roman" w:hAnsi="Times New Roman" w:cs="Times New Roman"/>
              </w:rPr>
              <w:t xml:space="preserve"> </w:t>
            </w:r>
          </w:p>
        </w:tc>
        <w:tc>
          <w:tcPr>
            <w:tcW w:w="1620" w:type="dxa"/>
            <w:shd w:val="clear" w:color="auto" w:fill="FFFF00"/>
            <w:vAlign w:val="center"/>
          </w:tcPr>
          <w:p w14:paraId="178A5059" w14:textId="77777777" w:rsidR="00E80D3B" w:rsidRPr="00777E5E" w:rsidRDefault="00E80D3B" w:rsidP="00D740F4">
            <w:pPr>
              <w:jc w:val="center"/>
              <w:rPr>
                <w:rFonts w:ascii="Times New Roman" w:hAnsi="Times New Roman" w:cs="Times New Roman"/>
              </w:rPr>
            </w:pPr>
            <w:r w:rsidRPr="00777E5E">
              <w:rPr>
                <w:rFonts w:ascii="Times New Roman" w:hAnsi="Times New Roman" w:cs="Times New Roman"/>
              </w:rPr>
              <w:t>Medium Risk</w:t>
            </w:r>
          </w:p>
        </w:tc>
        <w:tc>
          <w:tcPr>
            <w:tcW w:w="2070" w:type="dxa"/>
            <w:shd w:val="clear" w:color="auto" w:fill="FF0000"/>
            <w:vAlign w:val="center"/>
          </w:tcPr>
          <w:p w14:paraId="30393455" w14:textId="77777777" w:rsidR="00E80D3B" w:rsidRPr="00777E5E" w:rsidRDefault="00E80D3B" w:rsidP="00D740F4">
            <w:pPr>
              <w:jc w:val="center"/>
              <w:rPr>
                <w:rFonts w:ascii="Times New Roman" w:hAnsi="Times New Roman" w:cs="Times New Roman"/>
              </w:rPr>
            </w:pPr>
            <w:r w:rsidRPr="00777E5E">
              <w:rPr>
                <w:rFonts w:ascii="Times New Roman" w:hAnsi="Times New Roman" w:cs="Times New Roman"/>
              </w:rPr>
              <w:t>High Risk</w:t>
            </w:r>
          </w:p>
        </w:tc>
        <w:tc>
          <w:tcPr>
            <w:tcW w:w="1980" w:type="dxa"/>
            <w:shd w:val="clear" w:color="auto" w:fill="FF0000"/>
            <w:vAlign w:val="center"/>
          </w:tcPr>
          <w:p w14:paraId="1D997E18" w14:textId="77777777" w:rsidR="00E80D3B" w:rsidRPr="00777E5E" w:rsidRDefault="00E80D3B" w:rsidP="00D740F4">
            <w:pPr>
              <w:jc w:val="center"/>
              <w:rPr>
                <w:rFonts w:ascii="Times New Roman" w:hAnsi="Times New Roman" w:cs="Times New Roman"/>
              </w:rPr>
            </w:pPr>
            <w:r w:rsidRPr="00777E5E">
              <w:rPr>
                <w:rFonts w:ascii="Times New Roman" w:hAnsi="Times New Roman" w:cs="Times New Roman"/>
              </w:rPr>
              <w:t>High Risk</w:t>
            </w:r>
          </w:p>
        </w:tc>
      </w:tr>
      <w:tr w:rsidR="00E80D3B" w:rsidRPr="00777E5E" w14:paraId="3609B50E" w14:textId="77777777" w:rsidTr="00E80D3B">
        <w:tc>
          <w:tcPr>
            <w:tcW w:w="2250" w:type="dxa"/>
            <w:shd w:val="clear" w:color="auto" w:fill="F2F2F2" w:themeFill="background1" w:themeFillShade="F2"/>
            <w:vAlign w:val="center"/>
          </w:tcPr>
          <w:p w14:paraId="6C985C6C" w14:textId="77777777" w:rsidR="00E80D3B" w:rsidRPr="00777E5E" w:rsidRDefault="00E80D3B" w:rsidP="00D740F4">
            <w:pPr>
              <w:jc w:val="center"/>
              <w:rPr>
                <w:rFonts w:ascii="Times New Roman" w:hAnsi="Times New Roman" w:cs="Times New Roman"/>
              </w:rPr>
            </w:pPr>
            <w:r w:rsidRPr="008A04CC">
              <w:rPr>
                <w:rFonts w:ascii="Times New Roman" w:hAnsi="Times New Roman" w:cs="Times New Roman"/>
                <w:b/>
                <w:bCs/>
              </w:rPr>
              <w:t>Medium Frequency</w:t>
            </w:r>
            <w:r>
              <w:rPr>
                <w:rFonts w:ascii="Times New Roman" w:hAnsi="Times New Roman" w:cs="Times New Roman"/>
              </w:rPr>
              <w:t xml:space="preserve"> </w:t>
            </w:r>
          </w:p>
        </w:tc>
        <w:tc>
          <w:tcPr>
            <w:tcW w:w="1620" w:type="dxa"/>
            <w:shd w:val="clear" w:color="auto" w:fill="00FF00"/>
            <w:vAlign w:val="center"/>
          </w:tcPr>
          <w:p w14:paraId="2C1E7A52" w14:textId="77777777" w:rsidR="00E80D3B" w:rsidRPr="00777E5E" w:rsidRDefault="00E80D3B" w:rsidP="00D740F4">
            <w:pPr>
              <w:jc w:val="center"/>
              <w:rPr>
                <w:rFonts w:ascii="Times New Roman" w:hAnsi="Times New Roman" w:cs="Times New Roman"/>
              </w:rPr>
            </w:pPr>
            <w:r w:rsidRPr="00777E5E">
              <w:rPr>
                <w:rFonts w:ascii="Times New Roman" w:hAnsi="Times New Roman" w:cs="Times New Roman"/>
              </w:rPr>
              <w:t>Low Risk</w:t>
            </w:r>
          </w:p>
        </w:tc>
        <w:tc>
          <w:tcPr>
            <w:tcW w:w="2070" w:type="dxa"/>
            <w:shd w:val="clear" w:color="auto" w:fill="FFFF00"/>
            <w:vAlign w:val="center"/>
          </w:tcPr>
          <w:p w14:paraId="28476299" w14:textId="77777777" w:rsidR="00E80D3B" w:rsidRPr="00777E5E" w:rsidRDefault="00E80D3B" w:rsidP="00D740F4">
            <w:pPr>
              <w:jc w:val="center"/>
              <w:rPr>
                <w:rFonts w:ascii="Times New Roman" w:hAnsi="Times New Roman" w:cs="Times New Roman"/>
              </w:rPr>
            </w:pPr>
            <w:r w:rsidRPr="00777E5E">
              <w:rPr>
                <w:rFonts w:ascii="Times New Roman" w:hAnsi="Times New Roman" w:cs="Times New Roman"/>
              </w:rPr>
              <w:t>Medium Risk</w:t>
            </w:r>
          </w:p>
        </w:tc>
        <w:tc>
          <w:tcPr>
            <w:tcW w:w="1980" w:type="dxa"/>
            <w:shd w:val="clear" w:color="auto" w:fill="FF0000"/>
            <w:vAlign w:val="center"/>
          </w:tcPr>
          <w:p w14:paraId="559E5402" w14:textId="77777777" w:rsidR="00E80D3B" w:rsidRPr="00777E5E" w:rsidRDefault="00E80D3B" w:rsidP="00D740F4">
            <w:pPr>
              <w:jc w:val="center"/>
              <w:rPr>
                <w:rFonts w:ascii="Times New Roman" w:hAnsi="Times New Roman" w:cs="Times New Roman"/>
              </w:rPr>
            </w:pPr>
            <w:r w:rsidRPr="00777E5E">
              <w:rPr>
                <w:rFonts w:ascii="Times New Roman" w:hAnsi="Times New Roman" w:cs="Times New Roman"/>
              </w:rPr>
              <w:t>High Risk</w:t>
            </w:r>
          </w:p>
        </w:tc>
      </w:tr>
      <w:tr w:rsidR="00E80D3B" w:rsidRPr="00777E5E" w14:paraId="550BF025" w14:textId="77777777" w:rsidTr="00E80D3B">
        <w:tc>
          <w:tcPr>
            <w:tcW w:w="2250" w:type="dxa"/>
            <w:shd w:val="clear" w:color="auto" w:fill="F2F2F2" w:themeFill="background1" w:themeFillShade="F2"/>
            <w:vAlign w:val="center"/>
          </w:tcPr>
          <w:p w14:paraId="2D73BC3E" w14:textId="77777777" w:rsidR="00E80D3B" w:rsidRPr="00777E5E" w:rsidRDefault="00E80D3B" w:rsidP="00D740F4">
            <w:pPr>
              <w:jc w:val="center"/>
              <w:rPr>
                <w:rFonts w:ascii="Times New Roman" w:hAnsi="Times New Roman" w:cs="Times New Roman"/>
              </w:rPr>
            </w:pPr>
            <w:r w:rsidRPr="008A04CC">
              <w:rPr>
                <w:rFonts w:ascii="Times New Roman" w:hAnsi="Times New Roman" w:cs="Times New Roman"/>
                <w:b/>
                <w:bCs/>
              </w:rPr>
              <w:t>Low Frequency</w:t>
            </w:r>
            <w:r>
              <w:rPr>
                <w:rFonts w:ascii="Times New Roman" w:hAnsi="Times New Roman" w:cs="Times New Roman"/>
              </w:rPr>
              <w:t xml:space="preserve"> </w:t>
            </w:r>
          </w:p>
        </w:tc>
        <w:tc>
          <w:tcPr>
            <w:tcW w:w="1620" w:type="dxa"/>
            <w:shd w:val="clear" w:color="auto" w:fill="00FF00"/>
            <w:vAlign w:val="center"/>
          </w:tcPr>
          <w:p w14:paraId="4C096E6A" w14:textId="77777777" w:rsidR="00E80D3B" w:rsidRPr="00777E5E" w:rsidRDefault="00E80D3B" w:rsidP="00D740F4">
            <w:pPr>
              <w:jc w:val="center"/>
              <w:rPr>
                <w:rFonts w:ascii="Times New Roman" w:hAnsi="Times New Roman" w:cs="Times New Roman"/>
              </w:rPr>
            </w:pPr>
            <w:r w:rsidRPr="00777E5E">
              <w:rPr>
                <w:rFonts w:ascii="Times New Roman" w:hAnsi="Times New Roman" w:cs="Times New Roman"/>
              </w:rPr>
              <w:t>Low Risk</w:t>
            </w:r>
          </w:p>
        </w:tc>
        <w:tc>
          <w:tcPr>
            <w:tcW w:w="2070" w:type="dxa"/>
            <w:shd w:val="clear" w:color="auto" w:fill="FFFF00"/>
            <w:vAlign w:val="center"/>
          </w:tcPr>
          <w:p w14:paraId="20DDB4D2" w14:textId="77777777" w:rsidR="00E80D3B" w:rsidRPr="00777E5E" w:rsidRDefault="00E80D3B" w:rsidP="00D740F4">
            <w:pPr>
              <w:jc w:val="center"/>
              <w:rPr>
                <w:rFonts w:ascii="Times New Roman" w:hAnsi="Times New Roman" w:cs="Times New Roman"/>
              </w:rPr>
            </w:pPr>
            <w:r w:rsidRPr="00777E5E">
              <w:rPr>
                <w:rFonts w:ascii="Times New Roman" w:hAnsi="Times New Roman" w:cs="Times New Roman"/>
              </w:rPr>
              <w:t>Medium Risk</w:t>
            </w:r>
          </w:p>
        </w:tc>
        <w:tc>
          <w:tcPr>
            <w:tcW w:w="1980" w:type="dxa"/>
            <w:shd w:val="clear" w:color="auto" w:fill="FFFF00"/>
            <w:vAlign w:val="center"/>
          </w:tcPr>
          <w:p w14:paraId="746EADBC" w14:textId="77777777" w:rsidR="00E80D3B" w:rsidRPr="00777E5E" w:rsidRDefault="00E80D3B" w:rsidP="00D740F4">
            <w:pPr>
              <w:jc w:val="center"/>
              <w:rPr>
                <w:rFonts w:ascii="Times New Roman" w:hAnsi="Times New Roman" w:cs="Times New Roman"/>
              </w:rPr>
            </w:pPr>
            <w:r w:rsidRPr="00777E5E">
              <w:rPr>
                <w:rFonts w:ascii="Times New Roman" w:hAnsi="Times New Roman" w:cs="Times New Roman"/>
              </w:rPr>
              <w:t>Medium Risk</w:t>
            </w:r>
          </w:p>
        </w:tc>
      </w:tr>
    </w:tbl>
    <w:p w14:paraId="554ECA8E" w14:textId="77777777" w:rsidR="00DE7FF4" w:rsidRPr="00CD0492" w:rsidRDefault="00DE7FF4" w:rsidP="00DE7FF4">
      <w:pPr>
        <w:rPr>
          <w:rFonts w:ascii="Arial" w:hAnsi="Arial" w:cs="Arial"/>
          <w:color w:val="002060"/>
          <w:sz w:val="20"/>
          <w:szCs w:val="20"/>
        </w:rPr>
      </w:pPr>
    </w:p>
    <w:p w14:paraId="0FEA1749" w14:textId="4FDF08AF" w:rsidR="00F12FC7" w:rsidRPr="00F12FC7" w:rsidRDefault="00F12FC7" w:rsidP="00F12FC7">
      <w:pPr>
        <w:rPr>
          <w:rFonts w:ascii="Arial" w:hAnsi="Arial" w:cs="Arial"/>
          <w:b/>
          <w:bCs/>
          <w:color w:val="002060"/>
          <w:sz w:val="18"/>
          <w:szCs w:val="18"/>
        </w:rPr>
      </w:pPr>
      <w:r w:rsidRPr="00F12FC7">
        <w:rPr>
          <w:rFonts w:ascii="Arial" w:hAnsi="Arial" w:cs="Arial"/>
          <w:b/>
          <w:bCs/>
          <w:color w:val="002060"/>
          <w:sz w:val="18"/>
          <w:szCs w:val="18"/>
        </w:rPr>
        <w:lastRenderedPageBreak/>
        <w:t>Definitions</w:t>
      </w:r>
      <w:r>
        <w:rPr>
          <w:rFonts w:ascii="Arial" w:hAnsi="Arial" w:cs="Arial"/>
          <w:b/>
          <w:bCs/>
          <w:color w:val="002060"/>
          <w:sz w:val="18"/>
          <w:szCs w:val="18"/>
        </w:rPr>
        <w:t>:</w:t>
      </w:r>
    </w:p>
    <w:p w14:paraId="167203E2" w14:textId="77777777" w:rsidR="00F27764" w:rsidRPr="00F27764" w:rsidRDefault="00F27764" w:rsidP="00F27764">
      <w:pPr>
        <w:pStyle w:val="ListParagraph"/>
        <w:numPr>
          <w:ilvl w:val="0"/>
          <w:numId w:val="12"/>
        </w:numPr>
        <w:spacing w:after="160" w:line="259" w:lineRule="auto"/>
        <w:rPr>
          <w:rFonts w:ascii="Arial" w:hAnsi="Arial" w:cs="Arial"/>
          <w:color w:val="002060"/>
          <w:sz w:val="18"/>
          <w:szCs w:val="18"/>
        </w:rPr>
      </w:pPr>
      <w:r w:rsidRPr="00F27764">
        <w:rPr>
          <w:rFonts w:ascii="Arial" w:hAnsi="Arial" w:cs="Arial"/>
          <w:color w:val="002060"/>
          <w:sz w:val="18"/>
          <w:szCs w:val="18"/>
        </w:rPr>
        <w:t>High Frequency: Five or more times per reporting period</w:t>
      </w:r>
    </w:p>
    <w:p w14:paraId="2F0BBEC2" w14:textId="77777777" w:rsidR="00F27764" w:rsidRPr="00F27764" w:rsidRDefault="00F27764" w:rsidP="00F27764">
      <w:pPr>
        <w:pStyle w:val="ListParagraph"/>
        <w:numPr>
          <w:ilvl w:val="0"/>
          <w:numId w:val="12"/>
        </w:numPr>
        <w:spacing w:after="160" w:line="259" w:lineRule="auto"/>
        <w:rPr>
          <w:rFonts w:ascii="Arial" w:hAnsi="Arial" w:cs="Arial"/>
          <w:color w:val="002060"/>
          <w:sz w:val="18"/>
          <w:szCs w:val="18"/>
        </w:rPr>
      </w:pPr>
      <w:r w:rsidRPr="00F27764">
        <w:rPr>
          <w:rFonts w:ascii="Arial" w:hAnsi="Arial" w:cs="Arial"/>
          <w:color w:val="002060"/>
          <w:sz w:val="18"/>
          <w:szCs w:val="18"/>
        </w:rPr>
        <w:t>Medium Frequency: Three or four times per reporting period</w:t>
      </w:r>
    </w:p>
    <w:p w14:paraId="70A1E128" w14:textId="77777777" w:rsidR="00F27764" w:rsidRPr="00F27764" w:rsidRDefault="00F27764" w:rsidP="00F27764">
      <w:pPr>
        <w:pStyle w:val="ListParagraph"/>
        <w:numPr>
          <w:ilvl w:val="0"/>
          <w:numId w:val="12"/>
        </w:numPr>
        <w:spacing w:after="160" w:line="259" w:lineRule="auto"/>
        <w:rPr>
          <w:rFonts w:ascii="Arial" w:hAnsi="Arial" w:cs="Arial"/>
          <w:color w:val="002060"/>
          <w:sz w:val="18"/>
          <w:szCs w:val="18"/>
        </w:rPr>
      </w:pPr>
      <w:r w:rsidRPr="00F27764">
        <w:rPr>
          <w:rFonts w:ascii="Arial" w:hAnsi="Arial" w:cs="Arial"/>
          <w:color w:val="002060"/>
          <w:sz w:val="18"/>
          <w:szCs w:val="18"/>
        </w:rPr>
        <w:t>Low Frequency: One or two times per reporting period</w:t>
      </w:r>
    </w:p>
    <w:p w14:paraId="0D479CB7" w14:textId="554785F1" w:rsidR="00F27764" w:rsidRPr="00F27764" w:rsidRDefault="00F27764" w:rsidP="00F27764">
      <w:pPr>
        <w:pStyle w:val="ListParagraph"/>
        <w:numPr>
          <w:ilvl w:val="0"/>
          <w:numId w:val="12"/>
        </w:numPr>
        <w:spacing w:after="160" w:line="259" w:lineRule="auto"/>
        <w:rPr>
          <w:rFonts w:ascii="Arial" w:hAnsi="Arial" w:cs="Arial"/>
          <w:color w:val="002060"/>
          <w:sz w:val="18"/>
          <w:szCs w:val="18"/>
        </w:rPr>
      </w:pPr>
      <w:r w:rsidRPr="00F27764">
        <w:rPr>
          <w:rFonts w:ascii="Arial" w:hAnsi="Arial" w:cs="Arial"/>
          <w:color w:val="002060"/>
          <w:sz w:val="18"/>
          <w:szCs w:val="18"/>
        </w:rPr>
        <w:t xml:space="preserve">Low Severity: These adverse actions cause disruptions and delays to the division. </w:t>
      </w:r>
    </w:p>
    <w:p w14:paraId="0F53E296" w14:textId="77777777" w:rsidR="00F27764" w:rsidRPr="00F27764" w:rsidRDefault="00F27764" w:rsidP="00F27764">
      <w:pPr>
        <w:pStyle w:val="ListParagraph"/>
        <w:numPr>
          <w:ilvl w:val="0"/>
          <w:numId w:val="12"/>
        </w:numPr>
        <w:spacing w:after="160" w:line="259" w:lineRule="auto"/>
        <w:rPr>
          <w:rFonts w:ascii="Arial" w:hAnsi="Arial" w:cs="Arial"/>
          <w:color w:val="002060"/>
          <w:sz w:val="18"/>
          <w:szCs w:val="18"/>
        </w:rPr>
      </w:pPr>
      <w:r w:rsidRPr="00F27764">
        <w:rPr>
          <w:rFonts w:ascii="Arial" w:hAnsi="Arial" w:cs="Arial"/>
          <w:color w:val="002060"/>
          <w:sz w:val="18"/>
          <w:szCs w:val="18"/>
        </w:rPr>
        <w:t xml:space="preserve">Medium Severity: These adverse actions put grantees out of compliance with the terms of grant contracts and reporting requirements. </w:t>
      </w:r>
    </w:p>
    <w:p w14:paraId="1ECA635C" w14:textId="2028609F" w:rsidR="00F12FC7" w:rsidRPr="00A35844" w:rsidRDefault="00F27764" w:rsidP="00F27764">
      <w:pPr>
        <w:pStyle w:val="ListParagraph"/>
        <w:numPr>
          <w:ilvl w:val="0"/>
          <w:numId w:val="12"/>
        </w:numPr>
        <w:spacing w:after="160" w:line="259" w:lineRule="auto"/>
        <w:rPr>
          <w:rFonts w:ascii="Arial" w:hAnsi="Arial" w:cs="Arial"/>
          <w:color w:val="002060"/>
          <w:sz w:val="18"/>
          <w:szCs w:val="18"/>
        </w:rPr>
      </w:pPr>
      <w:r w:rsidRPr="00F27764">
        <w:rPr>
          <w:rFonts w:ascii="Arial" w:hAnsi="Arial" w:cs="Arial"/>
          <w:color w:val="002060"/>
          <w:sz w:val="18"/>
          <w:szCs w:val="18"/>
        </w:rPr>
        <w:t>High Severity: These adverse actions cause significant financial, programmatic, or legal issues that jeopardize the grantee's status as an eligible grant recipient.</w:t>
      </w:r>
      <w:r w:rsidR="00F12FC7">
        <w:t xml:space="preserve"> </w:t>
      </w:r>
    </w:p>
    <w:p w14:paraId="36467452" w14:textId="77777777" w:rsidR="00A35844" w:rsidRPr="00A35844" w:rsidRDefault="00A35844" w:rsidP="00A35844">
      <w:pPr>
        <w:spacing w:after="160" w:line="259" w:lineRule="auto"/>
        <w:rPr>
          <w:rFonts w:ascii="Arial" w:hAnsi="Arial" w:cs="Arial"/>
          <w:b/>
          <w:bCs/>
          <w:color w:val="002060"/>
          <w:sz w:val="18"/>
          <w:szCs w:val="18"/>
        </w:rPr>
      </w:pPr>
      <w:r w:rsidRPr="00A35844">
        <w:rPr>
          <w:rFonts w:ascii="Arial" w:hAnsi="Arial" w:cs="Arial"/>
          <w:b/>
          <w:bCs/>
          <w:color w:val="002060"/>
          <w:sz w:val="18"/>
          <w:szCs w:val="18"/>
        </w:rPr>
        <w:t>Review Period</w:t>
      </w:r>
    </w:p>
    <w:p w14:paraId="47E93DB8" w14:textId="4E99EEA6" w:rsidR="00A35844" w:rsidRPr="00A35844" w:rsidRDefault="00A35844" w:rsidP="00A35844">
      <w:pPr>
        <w:pStyle w:val="ListParagraph"/>
        <w:numPr>
          <w:ilvl w:val="0"/>
          <w:numId w:val="19"/>
        </w:numPr>
        <w:spacing w:after="160" w:line="259" w:lineRule="auto"/>
        <w:rPr>
          <w:rFonts w:ascii="Arial" w:hAnsi="Arial" w:cs="Arial"/>
          <w:color w:val="002060"/>
          <w:sz w:val="18"/>
          <w:szCs w:val="18"/>
        </w:rPr>
      </w:pPr>
      <w:r w:rsidRPr="00A35844">
        <w:rPr>
          <w:rFonts w:ascii="Arial" w:hAnsi="Arial" w:cs="Arial"/>
          <w:color w:val="002060"/>
          <w:sz w:val="18"/>
          <w:szCs w:val="18"/>
        </w:rPr>
        <w:t xml:space="preserve">ADFP Trust Fund staff will notify Grantees in a timely manner, no more than one month, of any late reports. </w:t>
      </w:r>
    </w:p>
    <w:p w14:paraId="2C130303" w14:textId="7FBE040F" w:rsidR="00A35844" w:rsidRPr="00A35844" w:rsidRDefault="00A35844" w:rsidP="00A35844">
      <w:pPr>
        <w:pStyle w:val="ListParagraph"/>
        <w:numPr>
          <w:ilvl w:val="0"/>
          <w:numId w:val="19"/>
        </w:numPr>
        <w:spacing w:after="160" w:line="259" w:lineRule="auto"/>
        <w:rPr>
          <w:rFonts w:ascii="Arial" w:hAnsi="Arial" w:cs="Arial"/>
          <w:color w:val="002060"/>
          <w:sz w:val="18"/>
          <w:szCs w:val="18"/>
        </w:rPr>
      </w:pPr>
      <w:r w:rsidRPr="00A35844">
        <w:rPr>
          <w:rFonts w:ascii="Arial" w:hAnsi="Arial" w:cs="Arial"/>
          <w:color w:val="002060"/>
          <w:sz w:val="18"/>
          <w:szCs w:val="18"/>
        </w:rPr>
        <w:t xml:space="preserve">Reports shall be considered delinquent 90 days after the reporting deadline. </w:t>
      </w:r>
    </w:p>
    <w:p w14:paraId="4D1855B6" w14:textId="77777777" w:rsidR="002263D5" w:rsidRPr="002263D5" w:rsidRDefault="002263D5" w:rsidP="002263D5">
      <w:pPr>
        <w:spacing w:after="160" w:line="259" w:lineRule="auto"/>
        <w:rPr>
          <w:rFonts w:ascii="Arial" w:hAnsi="Arial" w:cs="Arial"/>
          <w:b/>
          <w:bCs/>
          <w:color w:val="002060"/>
          <w:sz w:val="18"/>
          <w:szCs w:val="18"/>
        </w:rPr>
      </w:pPr>
      <w:bookmarkStart w:id="0" w:name="_Hlk64984854"/>
      <w:r w:rsidRPr="002263D5">
        <w:rPr>
          <w:rFonts w:ascii="Arial" w:hAnsi="Arial" w:cs="Arial"/>
          <w:b/>
          <w:bCs/>
          <w:color w:val="002060"/>
          <w:sz w:val="18"/>
          <w:szCs w:val="18"/>
        </w:rPr>
        <w:t>Adverse Actions</w:t>
      </w:r>
    </w:p>
    <w:p w14:paraId="399D071A" w14:textId="77777777" w:rsidR="002263D5" w:rsidRPr="00A87956" w:rsidRDefault="002263D5" w:rsidP="002263D5">
      <w:pPr>
        <w:pStyle w:val="ListParagraph"/>
        <w:numPr>
          <w:ilvl w:val="0"/>
          <w:numId w:val="12"/>
        </w:numPr>
        <w:spacing w:after="160" w:line="259" w:lineRule="auto"/>
        <w:rPr>
          <w:rFonts w:ascii="Arial" w:hAnsi="Arial" w:cs="Arial"/>
          <w:color w:val="002060"/>
          <w:sz w:val="18"/>
          <w:szCs w:val="18"/>
        </w:rPr>
      </w:pPr>
      <w:r w:rsidRPr="00A87956">
        <w:rPr>
          <w:rFonts w:ascii="Arial" w:hAnsi="Arial" w:cs="Arial"/>
          <w:color w:val="002060"/>
          <w:sz w:val="18"/>
          <w:szCs w:val="18"/>
        </w:rPr>
        <w:t>Low Frequency, Low Severity: Low Risk</w:t>
      </w:r>
    </w:p>
    <w:p w14:paraId="58263E12" w14:textId="77777777" w:rsidR="002263D5" w:rsidRPr="00A87956" w:rsidRDefault="002263D5" w:rsidP="00A87956">
      <w:pPr>
        <w:pStyle w:val="ListParagraph"/>
        <w:numPr>
          <w:ilvl w:val="1"/>
          <w:numId w:val="12"/>
        </w:numPr>
        <w:spacing w:after="160" w:line="259" w:lineRule="auto"/>
        <w:rPr>
          <w:rFonts w:ascii="Arial" w:hAnsi="Arial" w:cs="Arial"/>
          <w:color w:val="002060"/>
          <w:sz w:val="18"/>
          <w:szCs w:val="18"/>
        </w:rPr>
      </w:pPr>
      <w:r w:rsidRPr="00A87956">
        <w:rPr>
          <w:rFonts w:ascii="Arial" w:hAnsi="Arial" w:cs="Arial"/>
          <w:color w:val="002060"/>
          <w:sz w:val="18"/>
          <w:szCs w:val="18"/>
        </w:rPr>
        <w:t xml:space="preserve">Failure to return one or two completed grant contract packets within 10 working days without staff approval. The reporting period is a grant award cycle. </w:t>
      </w:r>
    </w:p>
    <w:p w14:paraId="4E281945" w14:textId="77777777" w:rsidR="002263D5" w:rsidRPr="00A87956" w:rsidRDefault="002263D5" w:rsidP="00A87956">
      <w:pPr>
        <w:pStyle w:val="ListParagraph"/>
        <w:numPr>
          <w:ilvl w:val="1"/>
          <w:numId w:val="12"/>
        </w:numPr>
        <w:spacing w:after="160" w:line="259" w:lineRule="auto"/>
        <w:rPr>
          <w:rFonts w:ascii="Arial" w:hAnsi="Arial" w:cs="Arial"/>
          <w:color w:val="002060"/>
          <w:sz w:val="18"/>
          <w:szCs w:val="18"/>
        </w:rPr>
      </w:pPr>
      <w:r w:rsidRPr="00A87956">
        <w:rPr>
          <w:rFonts w:ascii="Arial" w:hAnsi="Arial" w:cs="Arial"/>
          <w:color w:val="002060"/>
          <w:sz w:val="18"/>
          <w:szCs w:val="18"/>
        </w:rPr>
        <w:t>All grant payments and proposed grant contracts are frozen until reports are filed and approved.</w:t>
      </w:r>
    </w:p>
    <w:p w14:paraId="735E5902" w14:textId="77777777" w:rsidR="002263D5" w:rsidRPr="00A87956" w:rsidRDefault="002263D5" w:rsidP="002263D5">
      <w:pPr>
        <w:pStyle w:val="ListParagraph"/>
        <w:numPr>
          <w:ilvl w:val="0"/>
          <w:numId w:val="12"/>
        </w:numPr>
        <w:spacing w:after="160" w:line="259" w:lineRule="auto"/>
        <w:rPr>
          <w:rFonts w:ascii="Arial" w:hAnsi="Arial" w:cs="Arial"/>
          <w:color w:val="002060"/>
          <w:sz w:val="18"/>
          <w:szCs w:val="18"/>
        </w:rPr>
      </w:pPr>
      <w:r w:rsidRPr="00A87956">
        <w:rPr>
          <w:rFonts w:ascii="Arial" w:hAnsi="Arial" w:cs="Arial"/>
          <w:color w:val="002060"/>
          <w:sz w:val="18"/>
          <w:szCs w:val="18"/>
        </w:rPr>
        <w:t>Medium Frequency, Low Severity: Low Risk</w:t>
      </w:r>
    </w:p>
    <w:p w14:paraId="0589A5FB" w14:textId="77777777" w:rsidR="002263D5" w:rsidRPr="00A87956" w:rsidRDefault="002263D5" w:rsidP="00A87956">
      <w:pPr>
        <w:pStyle w:val="ListParagraph"/>
        <w:numPr>
          <w:ilvl w:val="1"/>
          <w:numId w:val="12"/>
        </w:numPr>
        <w:spacing w:after="160" w:line="259" w:lineRule="auto"/>
        <w:rPr>
          <w:rFonts w:ascii="Arial" w:hAnsi="Arial" w:cs="Arial"/>
          <w:color w:val="002060"/>
          <w:sz w:val="18"/>
          <w:szCs w:val="18"/>
        </w:rPr>
      </w:pPr>
      <w:r w:rsidRPr="00A87956">
        <w:rPr>
          <w:rFonts w:ascii="Arial" w:hAnsi="Arial" w:cs="Arial"/>
          <w:color w:val="002060"/>
          <w:sz w:val="18"/>
          <w:szCs w:val="18"/>
        </w:rPr>
        <w:t xml:space="preserve">Failure to return three or four completed grant contract packets within 10 working days without staff approval. The reporting period is a grant award cycle. </w:t>
      </w:r>
    </w:p>
    <w:p w14:paraId="0CB1323A" w14:textId="77777777" w:rsidR="002263D5" w:rsidRPr="00A87956" w:rsidRDefault="002263D5" w:rsidP="00A87956">
      <w:pPr>
        <w:pStyle w:val="ListParagraph"/>
        <w:numPr>
          <w:ilvl w:val="1"/>
          <w:numId w:val="12"/>
        </w:numPr>
        <w:spacing w:after="160" w:line="259" w:lineRule="auto"/>
        <w:rPr>
          <w:rFonts w:ascii="Arial" w:hAnsi="Arial" w:cs="Arial"/>
          <w:color w:val="002060"/>
          <w:sz w:val="18"/>
          <w:szCs w:val="18"/>
        </w:rPr>
      </w:pPr>
      <w:r w:rsidRPr="00A87956">
        <w:rPr>
          <w:rFonts w:ascii="Arial" w:hAnsi="Arial" w:cs="Arial"/>
          <w:color w:val="002060"/>
          <w:sz w:val="18"/>
          <w:szCs w:val="18"/>
        </w:rPr>
        <w:t>All grant payments and proposed grant contracts are frozen until reports are filed and approved.</w:t>
      </w:r>
    </w:p>
    <w:p w14:paraId="04E09CB6" w14:textId="77777777" w:rsidR="002263D5" w:rsidRPr="00A87956" w:rsidRDefault="002263D5" w:rsidP="002263D5">
      <w:pPr>
        <w:pStyle w:val="ListParagraph"/>
        <w:numPr>
          <w:ilvl w:val="0"/>
          <w:numId w:val="12"/>
        </w:numPr>
        <w:spacing w:after="160" w:line="259" w:lineRule="auto"/>
        <w:rPr>
          <w:rFonts w:ascii="Arial" w:hAnsi="Arial" w:cs="Arial"/>
          <w:color w:val="002060"/>
          <w:sz w:val="18"/>
          <w:szCs w:val="18"/>
        </w:rPr>
      </w:pPr>
      <w:r w:rsidRPr="00A87956">
        <w:rPr>
          <w:rFonts w:ascii="Arial" w:hAnsi="Arial" w:cs="Arial"/>
          <w:color w:val="002060"/>
          <w:sz w:val="18"/>
          <w:szCs w:val="18"/>
        </w:rPr>
        <w:t>High Frequency, Low Severity: Medium Risk</w:t>
      </w:r>
    </w:p>
    <w:p w14:paraId="37E8AA17" w14:textId="77777777" w:rsidR="002263D5" w:rsidRPr="00A87956" w:rsidRDefault="002263D5" w:rsidP="00A87956">
      <w:pPr>
        <w:pStyle w:val="ListParagraph"/>
        <w:numPr>
          <w:ilvl w:val="1"/>
          <w:numId w:val="12"/>
        </w:numPr>
        <w:spacing w:after="160" w:line="259" w:lineRule="auto"/>
        <w:rPr>
          <w:rFonts w:ascii="Arial" w:hAnsi="Arial" w:cs="Arial"/>
          <w:color w:val="002060"/>
          <w:sz w:val="18"/>
          <w:szCs w:val="18"/>
        </w:rPr>
      </w:pPr>
      <w:r w:rsidRPr="00A87956">
        <w:rPr>
          <w:rFonts w:ascii="Arial" w:hAnsi="Arial" w:cs="Arial"/>
          <w:color w:val="002060"/>
          <w:sz w:val="18"/>
          <w:szCs w:val="18"/>
        </w:rPr>
        <w:t xml:space="preserve">Failure to return five or more completed grant contract packets within 10 working days without staff approval. The reporting period is a grant award cycle. </w:t>
      </w:r>
    </w:p>
    <w:p w14:paraId="73D20221" w14:textId="77777777" w:rsidR="002263D5" w:rsidRPr="00A87956" w:rsidRDefault="002263D5" w:rsidP="00A87956">
      <w:pPr>
        <w:pStyle w:val="ListParagraph"/>
        <w:numPr>
          <w:ilvl w:val="1"/>
          <w:numId w:val="12"/>
        </w:numPr>
        <w:spacing w:after="160" w:line="259" w:lineRule="auto"/>
        <w:rPr>
          <w:rFonts w:ascii="Arial" w:hAnsi="Arial" w:cs="Arial"/>
          <w:color w:val="002060"/>
          <w:sz w:val="18"/>
          <w:szCs w:val="18"/>
        </w:rPr>
      </w:pPr>
      <w:r w:rsidRPr="00A87956">
        <w:rPr>
          <w:rFonts w:ascii="Arial" w:hAnsi="Arial" w:cs="Arial"/>
          <w:color w:val="002060"/>
          <w:sz w:val="18"/>
          <w:szCs w:val="18"/>
        </w:rPr>
        <w:t>All grant payments and proposed grant contracts are frozen until reports are filed and approved. The review of proposed grant requests may continue but no grant contracts may be offered.</w:t>
      </w:r>
    </w:p>
    <w:p w14:paraId="5AA89AA8" w14:textId="77777777" w:rsidR="002263D5" w:rsidRPr="00A87956" w:rsidRDefault="002263D5" w:rsidP="002263D5">
      <w:pPr>
        <w:pStyle w:val="ListParagraph"/>
        <w:numPr>
          <w:ilvl w:val="0"/>
          <w:numId w:val="12"/>
        </w:numPr>
        <w:spacing w:after="160" w:line="259" w:lineRule="auto"/>
        <w:rPr>
          <w:rFonts w:ascii="Arial" w:hAnsi="Arial" w:cs="Arial"/>
          <w:color w:val="002060"/>
          <w:sz w:val="18"/>
          <w:szCs w:val="18"/>
        </w:rPr>
      </w:pPr>
      <w:r w:rsidRPr="00A87956">
        <w:rPr>
          <w:rFonts w:ascii="Arial" w:hAnsi="Arial" w:cs="Arial"/>
          <w:color w:val="002060"/>
          <w:sz w:val="18"/>
          <w:szCs w:val="18"/>
        </w:rPr>
        <w:t>Low Frequency, Medium Severity: Low Risk</w:t>
      </w:r>
    </w:p>
    <w:p w14:paraId="114203D0" w14:textId="77777777" w:rsidR="002263D5" w:rsidRPr="00A87956" w:rsidRDefault="002263D5" w:rsidP="00A87956">
      <w:pPr>
        <w:pStyle w:val="ListParagraph"/>
        <w:numPr>
          <w:ilvl w:val="1"/>
          <w:numId w:val="12"/>
        </w:numPr>
        <w:spacing w:after="160" w:line="259" w:lineRule="auto"/>
        <w:rPr>
          <w:rFonts w:ascii="Arial" w:hAnsi="Arial" w:cs="Arial"/>
          <w:color w:val="002060"/>
          <w:sz w:val="18"/>
          <w:szCs w:val="18"/>
        </w:rPr>
      </w:pPr>
      <w:r w:rsidRPr="00A87956">
        <w:rPr>
          <w:rFonts w:ascii="Arial" w:hAnsi="Arial" w:cs="Arial"/>
          <w:color w:val="002060"/>
          <w:sz w:val="18"/>
          <w:szCs w:val="18"/>
        </w:rPr>
        <w:t xml:space="preserve">One or two late budget and progress reports, conservation easement deliverables report, or monitoring reports in the previous reporting period. The reporting period is either semi-annually or quarterly for open contracts, and annually for monitoring reports. </w:t>
      </w:r>
    </w:p>
    <w:p w14:paraId="2C9901CE" w14:textId="77777777" w:rsidR="002263D5" w:rsidRPr="00A87956" w:rsidRDefault="002263D5" w:rsidP="00A87956">
      <w:pPr>
        <w:pStyle w:val="ListParagraph"/>
        <w:numPr>
          <w:ilvl w:val="1"/>
          <w:numId w:val="12"/>
        </w:numPr>
        <w:spacing w:after="160" w:line="259" w:lineRule="auto"/>
        <w:rPr>
          <w:rFonts w:ascii="Arial" w:hAnsi="Arial" w:cs="Arial"/>
          <w:color w:val="002060"/>
          <w:sz w:val="18"/>
          <w:szCs w:val="18"/>
        </w:rPr>
      </w:pPr>
      <w:r w:rsidRPr="00A87956">
        <w:rPr>
          <w:rFonts w:ascii="Arial" w:hAnsi="Arial" w:cs="Arial"/>
          <w:color w:val="002060"/>
          <w:sz w:val="18"/>
          <w:szCs w:val="18"/>
        </w:rPr>
        <w:t>All grant payments and proposed grant contracts are frozen until reports are filed and approved.</w:t>
      </w:r>
    </w:p>
    <w:p w14:paraId="04E6FB01" w14:textId="77777777" w:rsidR="002263D5" w:rsidRPr="00A87956" w:rsidRDefault="002263D5" w:rsidP="002263D5">
      <w:pPr>
        <w:pStyle w:val="ListParagraph"/>
        <w:numPr>
          <w:ilvl w:val="0"/>
          <w:numId w:val="12"/>
        </w:numPr>
        <w:spacing w:after="160" w:line="259" w:lineRule="auto"/>
        <w:rPr>
          <w:rFonts w:ascii="Arial" w:hAnsi="Arial" w:cs="Arial"/>
          <w:color w:val="002060"/>
          <w:sz w:val="18"/>
          <w:szCs w:val="18"/>
        </w:rPr>
      </w:pPr>
      <w:r w:rsidRPr="00A87956">
        <w:rPr>
          <w:rFonts w:ascii="Arial" w:hAnsi="Arial" w:cs="Arial"/>
          <w:color w:val="002060"/>
          <w:sz w:val="18"/>
          <w:szCs w:val="18"/>
        </w:rPr>
        <w:t>Medium Frequency, Medium Severity: Medium Risk</w:t>
      </w:r>
    </w:p>
    <w:p w14:paraId="2C380D90" w14:textId="77777777" w:rsidR="002263D5" w:rsidRPr="00A87956" w:rsidRDefault="002263D5" w:rsidP="00A87956">
      <w:pPr>
        <w:pStyle w:val="ListParagraph"/>
        <w:numPr>
          <w:ilvl w:val="1"/>
          <w:numId w:val="12"/>
        </w:numPr>
        <w:spacing w:after="160" w:line="259" w:lineRule="auto"/>
        <w:rPr>
          <w:rFonts w:ascii="Arial" w:hAnsi="Arial" w:cs="Arial"/>
          <w:color w:val="002060"/>
          <w:sz w:val="18"/>
          <w:szCs w:val="18"/>
        </w:rPr>
      </w:pPr>
      <w:r w:rsidRPr="00A87956">
        <w:rPr>
          <w:rFonts w:ascii="Arial" w:hAnsi="Arial" w:cs="Arial"/>
          <w:color w:val="002060"/>
          <w:sz w:val="18"/>
          <w:szCs w:val="18"/>
        </w:rPr>
        <w:t xml:space="preserve">Three or four late budget and progress reports, conservation easement deliverables report, or monitoring reports in the previous reporting period. The reporting period is either semi-annually or quarterly for open contracts, and annually for monitoring reports. </w:t>
      </w:r>
    </w:p>
    <w:p w14:paraId="7D6D09A0" w14:textId="77777777" w:rsidR="002263D5" w:rsidRPr="00A87956" w:rsidRDefault="002263D5" w:rsidP="00A87956">
      <w:pPr>
        <w:pStyle w:val="ListParagraph"/>
        <w:numPr>
          <w:ilvl w:val="1"/>
          <w:numId w:val="12"/>
        </w:numPr>
        <w:spacing w:after="160" w:line="259" w:lineRule="auto"/>
        <w:rPr>
          <w:rFonts w:ascii="Arial" w:hAnsi="Arial" w:cs="Arial"/>
          <w:color w:val="002060"/>
          <w:sz w:val="18"/>
          <w:szCs w:val="18"/>
        </w:rPr>
      </w:pPr>
      <w:r w:rsidRPr="00A87956">
        <w:rPr>
          <w:rFonts w:ascii="Arial" w:hAnsi="Arial" w:cs="Arial"/>
          <w:color w:val="002060"/>
          <w:sz w:val="18"/>
          <w:szCs w:val="18"/>
        </w:rPr>
        <w:t>All grant payments and proposed grant contracts are frozen until reports are filed and approved. The review of proposed grant requests may continue but no grant contracts may be offered.</w:t>
      </w:r>
    </w:p>
    <w:p w14:paraId="5B1747CB" w14:textId="77777777" w:rsidR="002263D5" w:rsidRPr="00A87956" w:rsidRDefault="002263D5" w:rsidP="002263D5">
      <w:pPr>
        <w:pStyle w:val="ListParagraph"/>
        <w:numPr>
          <w:ilvl w:val="0"/>
          <w:numId w:val="12"/>
        </w:numPr>
        <w:spacing w:after="160" w:line="259" w:lineRule="auto"/>
        <w:rPr>
          <w:rFonts w:ascii="Arial" w:hAnsi="Arial" w:cs="Arial"/>
          <w:color w:val="002060"/>
          <w:sz w:val="18"/>
          <w:szCs w:val="18"/>
        </w:rPr>
      </w:pPr>
      <w:r w:rsidRPr="00A87956">
        <w:rPr>
          <w:rFonts w:ascii="Arial" w:hAnsi="Arial" w:cs="Arial"/>
          <w:color w:val="002060"/>
          <w:sz w:val="18"/>
          <w:szCs w:val="18"/>
        </w:rPr>
        <w:t>High Frequency, Medium Severity: High Risk</w:t>
      </w:r>
    </w:p>
    <w:p w14:paraId="272A1C93" w14:textId="77777777" w:rsidR="002263D5" w:rsidRPr="00A87956" w:rsidRDefault="002263D5" w:rsidP="00A87956">
      <w:pPr>
        <w:pStyle w:val="ListParagraph"/>
        <w:numPr>
          <w:ilvl w:val="1"/>
          <w:numId w:val="12"/>
        </w:numPr>
        <w:spacing w:after="160" w:line="259" w:lineRule="auto"/>
        <w:rPr>
          <w:rFonts w:ascii="Arial" w:hAnsi="Arial" w:cs="Arial"/>
          <w:color w:val="002060"/>
          <w:sz w:val="18"/>
          <w:szCs w:val="18"/>
        </w:rPr>
      </w:pPr>
      <w:r w:rsidRPr="00A87956">
        <w:rPr>
          <w:rFonts w:ascii="Arial" w:hAnsi="Arial" w:cs="Arial"/>
          <w:color w:val="002060"/>
          <w:sz w:val="18"/>
          <w:szCs w:val="18"/>
        </w:rPr>
        <w:t xml:space="preserve">Five or more late budget and progress reports, conservation easement deliverables report, or monitoring reports in the previous reporting period. The reporting period is either semi-annually or quarterly for open contracts, and annually for monitoring reports. </w:t>
      </w:r>
    </w:p>
    <w:p w14:paraId="1597077A" w14:textId="77777777" w:rsidR="002263D5" w:rsidRPr="00A87956" w:rsidRDefault="002263D5" w:rsidP="00A87956">
      <w:pPr>
        <w:pStyle w:val="ListParagraph"/>
        <w:numPr>
          <w:ilvl w:val="1"/>
          <w:numId w:val="12"/>
        </w:numPr>
        <w:spacing w:after="160" w:line="259" w:lineRule="auto"/>
        <w:rPr>
          <w:rFonts w:ascii="Arial" w:hAnsi="Arial" w:cs="Arial"/>
          <w:color w:val="002060"/>
          <w:sz w:val="18"/>
          <w:szCs w:val="18"/>
        </w:rPr>
      </w:pPr>
      <w:r w:rsidRPr="00A87956">
        <w:rPr>
          <w:rFonts w:ascii="Arial" w:hAnsi="Arial" w:cs="Arial"/>
          <w:color w:val="002060"/>
          <w:sz w:val="18"/>
          <w:szCs w:val="18"/>
        </w:rPr>
        <w:t xml:space="preserve">One or more late budget and progress reports or monitoring reports in the two previous reporting periods. The reporting period is either semi-annually or quarterly for open contracts, and annually for monitoring reports. </w:t>
      </w:r>
    </w:p>
    <w:p w14:paraId="5E067F27" w14:textId="77777777" w:rsidR="002263D5" w:rsidRPr="00A87956" w:rsidRDefault="002263D5" w:rsidP="00A87956">
      <w:pPr>
        <w:pStyle w:val="ListParagraph"/>
        <w:numPr>
          <w:ilvl w:val="1"/>
          <w:numId w:val="12"/>
        </w:numPr>
        <w:spacing w:after="160" w:line="259" w:lineRule="auto"/>
        <w:rPr>
          <w:rFonts w:ascii="Arial" w:hAnsi="Arial" w:cs="Arial"/>
          <w:color w:val="002060"/>
          <w:sz w:val="18"/>
          <w:szCs w:val="18"/>
        </w:rPr>
      </w:pPr>
      <w:r w:rsidRPr="00A87956">
        <w:rPr>
          <w:rFonts w:ascii="Arial" w:hAnsi="Arial" w:cs="Arial"/>
          <w:color w:val="002060"/>
          <w:sz w:val="18"/>
          <w:szCs w:val="18"/>
        </w:rPr>
        <w:t>All grant payments and proposed grant contracts are frozen until reports are filed and approved. The review of proposed grant requests is discontinued, and no grant contract may be offered.</w:t>
      </w:r>
    </w:p>
    <w:p w14:paraId="3A48DEF9" w14:textId="77777777" w:rsidR="002263D5" w:rsidRPr="00A87956" w:rsidRDefault="002263D5" w:rsidP="002263D5">
      <w:pPr>
        <w:pStyle w:val="ListParagraph"/>
        <w:numPr>
          <w:ilvl w:val="0"/>
          <w:numId w:val="12"/>
        </w:numPr>
        <w:spacing w:after="160" w:line="259" w:lineRule="auto"/>
        <w:rPr>
          <w:rFonts w:ascii="Arial" w:hAnsi="Arial" w:cs="Arial"/>
          <w:color w:val="002060"/>
          <w:sz w:val="18"/>
          <w:szCs w:val="18"/>
        </w:rPr>
      </w:pPr>
      <w:r w:rsidRPr="00A87956">
        <w:rPr>
          <w:rFonts w:ascii="Arial" w:hAnsi="Arial" w:cs="Arial"/>
          <w:color w:val="002060"/>
          <w:sz w:val="18"/>
          <w:szCs w:val="18"/>
        </w:rPr>
        <w:t>Low Frequency, High Severity: Medium Risk</w:t>
      </w:r>
    </w:p>
    <w:p w14:paraId="189ECE33" w14:textId="77777777" w:rsidR="002263D5" w:rsidRPr="00A87956" w:rsidRDefault="002263D5" w:rsidP="00A87956">
      <w:pPr>
        <w:pStyle w:val="ListParagraph"/>
        <w:numPr>
          <w:ilvl w:val="1"/>
          <w:numId w:val="12"/>
        </w:numPr>
        <w:spacing w:after="160" w:line="259" w:lineRule="auto"/>
        <w:rPr>
          <w:rFonts w:ascii="Arial" w:hAnsi="Arial" w:cs="Arial"/>
          <w:color w:val="002060"/>
          <w:sz w:val="18"/>
          <w:szCs w:val="18"/>
        </w:rPr>
      </w:pPr>
      <w:r w:rsidRPr="00A87956">
        <w:rPr>
          <w:rFonts w:ascii="Arial" w:hAnsi="Arial" w:cs="Arial"/>
          <w:color w:val="002060"/>
          <w:sz w:val="18"/>
          <w:szCs w:val="18"/>
        </w:rPr>
        <w:t xml:space="preserve">Failure to submit the final report and all invoices within 20 working days (28 calendar days) following the closing and recording date of one or two conservation easement projects. The reporting period is annual. </w:t>
      </w:r>
    </w:p>
    <w:p w14:paraId="1F5948E8" w14:textId="77777777" w:rsidR="002263D5" w:rsidRPr="00A87956" w:rsidRDefault="002263D5" w:rsidP="00A87956">
      <w:pPr>
        <w:pStyle w:val="ListParagraph"/>
        <w:numPr>
          <w:ilvl w:val="1"/>
          <w:numId w:val="12"/>
        </w:numPr>
        <w:spacing w:after="160" w:line="259" w:lineRule="auto"/>
        <w:rPr>
          <w:rFonts w:ascii="Arial" w:hAnsi="Arial" w:cs="Arial"/>
          <w:color w:val="002060"/>
          <w:sz w:val="18"/>
          <w:szCs w:val="18"/>
        </w:rPr>
      </w:pPr>
      <w:r w:rsidRPr="00A87956">
        <w:rPr>
          <w:rFonts w:ascii="Arial" w:hAnsi="Arial" w:cs="Arial"/>
          <w:color w:val="002060"/>
          <w:sz w:val="18"/>
          <w:szCs w:val="18"/>
        </w:rPr>
        <w:lastRenderedPageBreak/>
        <w:t xml:space="preserve">Failure to submit the final report and all invoices by the 10th of the month following the contract's ending date or within 20 working days (28 calendar days) following the completion of the project for one or two agricultural development projects or agricultural plans. The reporting period is annual. </w:t>
      </w:r>
    </w:p>
    <w:p w14:paraId="3F4E9F9C" w14:textId="77777777" w:rsidR="002263D5" w:rsidRPr="00A87956" w:rsidRDefault="002263D5" w:rsidP="00A87956">
      <w:pPr>
        <w:pStyle w:val="ListParagraph"/>
        <w:numPr>
          <w:ilvl w:val="1"/>
          <w:numId w:val="12"/>
        </w:numPr>
        <w:spacing w:after="160" w:line="259" w:lineRule="auto"/>
        <w:rPr>
          <w:rFonts w:ascii="Arial" w:hAnsi="Arial" w:cs="Arial"/>
          <w:color w:val="002060"/>
          <w:sz w:val="18"/>
          <w:szCs w:val="18"/>
        </w:rPr>
      </w:pPr>
      <w:r w:rsidRPr="00A87956">
        <w:rPr>
          <w:rFonts w:ascii="Arial" w:hAnsi="Arial" w:cs="Arial"/>
          <w:color w:val="002060"/>
          <w:sz w:val="18"/>
          <w:szCs w:val="18"/>
        </w:rPr>
        <w:t>All grant payments and proposed grant contracts are frozen until reports are filed and approved. The review of proposed grant requests may continue but no grant contracts may be offered.</w:t>
      </w:r>
    </w:p>
    <w:p w14:paraId="464DE768" w14:textId="77777777" w:rsidR="002263D5" w:rsidRPr="00A87956" w:rsidRDefault="002263D5" w:rsidP="002263D5">
      <w:pPr>
        <w:pStyle w:val="ListParagraph"/>
        <w:numPr>
          <w:ilvl w:val="0"/>
          <w:numId w:val="12"/>
        </w:numPr>
        <w:spacing w:after="160" w:line="259" w:lineRule="auto"/>
        <w:rPr>
          <w:rFonts w:ascii="Arial" w:hAnsi="Arial" w:cs="Arial"/>
          <w:color w:val="002060"/>
          <w:sz w:val="18"/>
          <w:szCs w:val="18"/>
        </w:rPr>
      </w:pPr>
      <w:r w:rsidRPr="00A87956">
        <w:rPr>
          <w:rFonts w:ascii="Arial" w:hAnsi="Arial" w:cs="Arial"/>
          <w:color w:val="002060"/>
          <w:sz w:val="18"/>
          <w:szCs w:val="18"/>
        </w:rPr>
        <w:t>Medium Frequency, High Severity: High Risk</w:t>
      </w:r>
    </w:p>
    <w:p w14:paraId="35B3626A" w14:textId="77777777" w:rsidR="002263D5" w:rsidRPr="00A87956" w:rsidRDefault="002263D5" w:rsidP="00A87956">
      <w:pPr>
        <w:pStyle w:val="ListParagraph"/>
        <w:numPr>
          <w:ilvl w:val="1"/>
          <w:numId w:val="12"/>
        </w:numPr>
        <w:spacing w:after="160" w:line="259" w:lineRule="auto"/>
        <w:rPr>
          <w:rFonts w:ascii="Arial" w:hAnsi="Arial" w:cs="Arial"/>
          <w:color w:val="002060"/>
          <w:sz w:val="18"/>
          <w:szCs w:val="18"/>
        </w:rPr>
      </w:pPr>
      <w:r w:rsidRPr="00A87956">
        <w:rPr>
          <w:rFonts w:ascii="Arial" w:hAnsi="Arial" w:cs="Arial"/>
          <w:color w:val="002060"/>
          <w:sz w:val="18"/>
          <w:szCs w:val="18"/>
        </w:rPr>
        <w:t>Failure to submit the final report and all invoices within 20 working days (28 calendar days) following the closing and recording date of three or four conservation easement projects. The reporting period is annual.</w:t>
      </w:r>
    </w:p>
    <w:p w14:paraId="3DD349FC" w14:textId="77777777" w:rsidR="002263D5" w:rsidRPr="00A87956" w:rsidRDefault="002263D5" w:rsidP="00A87956">
      <w:pPr>
        <w:pStyle w:val="ListParagraph"/>
        <w:numPr>
          <w:ilvl w:val="1"/>
          <w:numId w:val="12"/>
        </w:numPr>
        <w:spacing w:after="160" w:line="259" w:lineRule="auto"/>
        <w:rPr>
          <w:rFonts w:ascii="Arial" w:hAnsi="Arial" w:cs="Arial"/>
          <w:color w:val="002060"/>
          <w:sz w:val="18"/>
          <w:szCs w:val="18"/>
        </w:rPr>
      </w:pPr>
      <w:r w:rsidRPr="00A87956">
        <w:rPr>
          <w:rFonts w:ascii="Arial" w:hAnsi="Arial" w:cs="Arial"/>
          <w:color w:val="002060"/>
          <w:sz w:val="18"/>
          <w:szCs w:val="18"/>
        </w:rPr>
        <w:t xml:space="preserve">Failure to submit the final report and all invoices by the 10th of the month following the contract's ending date or within 20 working days (28 calendar days) following the completion of the project for three or four agricultural development projects or agricultural plans. The reporting period is annual. </w:t>
      </w:r>
    </w:p>
    <w:p w14:paraId="6DCA1B57" w14:textId="77777777" w:rsidR="002263D5" w:rsidRPr="00A87956" w:rsidRDefault="002263D5" w:rsidP="00A87956">
      <w:pPr>
        <w:pStyle w:val="ListParagraph"/>
        <w:numPr>
          <w:ilvl w:val="1"/>
          <w:numId w:val="12"/>
        </w:numPr>
        <w:spacing w:after="160" w:line="259" w:lineRule="auto"/>
        <w:rPr>
          <w:rFonts w:ascii="Arial" w:hAnsi="Arial" w:cs="Arial"/>
          <w:color w:val="002060"/>
          <w:sz w:val="18"/>
          <w:szCs w:val="18"/>
        </w:rPr>
      </w:pPr>
      <w:r w:rsidRPr="00A87956">
        <w:rPr>
          <w:rFonts w:ascii="Arial" w:hAnsi="Arial" w:cs="Arial"/>
          <w:color w:val="002060"/>
          <w:sz w:val="18"/>
          <w:szCs w:val="18"/>
        </w:rPr>
        <w:t>Material weakness found in audit. Remain at high risk until it is corrected.</w:t>
      </w:r>
    </w:p>
    <w:p w14:paraId="7D87CDCA" w14:textId="77777777" w:rsidR="002263D5" w:rsidRPr="00A87956" w:rsidRDefault="002263D5" w:rsidP="00A87956">
      <w:pPr>
        <w:pStyle w:val="ListParagraph"/>
        <w:numPr>
          <w:ilvl w:val="1"/>
          <w:numId w:val="12"/>
        </w:numPr>
        <w:spacing w:after="160" w:line="259" w:lineRule="auto"/>
        <w:rPr>
          <w:rFonts w:ascii="Arial" w:hAnsi="Arial" w:cs="Arial"/>
          <w:color w:val="002060"/>
          <w:sz w:val="18"/>
          <w:szCs w:val="18"/>
        </w:rPr>
      </w:pPr>
      <w:r w:rsidRPr="00A87956">
        <w:rPr>
          <w:rFonts w:ascii="Arial" w:hAnsi="Arial" w:cs="Arial"/>
          <w:color w:val="002060"/>
          <w:sz w:val="18"/>
          <w:szCs w:val="18"/>
        </w:rPr>
        <w:t>All grant payments are frozen. The Grantee is not eligible for an ADFP Trust Fund grant application or contract.</w:t>
      </w:r>
    </w:p>
    <w:p w14:paraId="5DEEC1E1" w14:textId="77777777" w:rsidR="002263D5" w:rsidRPr="00A87956" w:rsidRDefault="002263D5" w:rsidP="002263D5">
      <w:pPr>
        <w:pStyle w:val="ListParagraph"/>
        <w:numPr>
          <w:ilvl w:val="0"/>
          <w:numId w:val="12"/>
        </w:numPr>
        <w:spacing w:after="160" w:line="259" w:lineRule="auto"/>
        <w:rPr>
          <w:rFonts w:ascii="Arial" w:hAnsi="Arial" w:cs="Arial"/>
          <w:color w:val="002060"/>
          <w:sz w:val="18"/>
          <w:szCs w:val="18"/>
        </w:rPr>
      </w:pPr>
      <w:r w:rsidRPr="00A87956">
        <w:rPr>
          <w:rFonts w:ascii="Arial" w:hAnsi="Arial" w:cs="Arial"/>
          <w:color w:val="002060"/>
          <w:sz w:val="18"/>
          <w:szCs w:val="18"/>
        </w:rPr>
        <w:t>High Frequency, High Severity: High Risk</w:t>
      </w:r>
    </w:p>
    <w:p w14:paraId="2B90CC8D" w14:textId="77777777" w:rsidR="002263D5" w:rsidRPr="00A87956" w:rsidRDefault="002263D5" w:rsidP="00A87956">
      <w:pPr>
        <w:pStyle w:val="ListParagraph"/>
        <w:numPr>
          <w:ilvl w:val="1"/>
          <w:numId w:val="12"/>
        </w:numPr>
        <w:spacing w:after="160" w:line="259" w:lineRule="auto"/>
        <w:rPr>
          <w:rFonts w:ascii="Arial" w:hAnsi="Arial" w:cs="Arial"/>
          <w:color w:val="002060"/>
          <w:sz w:val="18"/>
          <w:szCs w:val="18"/>
        </w:rPr>
      </w:pPr>
      <w:r w:rsidRPr="00A87956">
        <w:rPr>
          <w:rFonts w:ascii="Arial" w:hAnsi="Arial" w:cs="Arial"/>
          <w:color w:val="002060"/>
          <w:sz w:val="18"/>
          <w:szCs w:val="18"/>
        </w:rPr>
        <w:t xml:space="preserve">One or more late budget and progress reports, conservation easement deliverables report, or monitoring reports in the three previous reporting periods. The reporting period is either semi-annually or quarterly for open contracts, and annually for monitoring reports. </w:t>
      </w:r>
    </w:p>
    <w:p w14:paraId="6D0401B4" w14:textId="77777777" w:rsidR="002263D5" w:rsidRPr="00A87956" w:rsidRDefault="002263D5" w:rsidP="00A87956">
      <w:pPr>
        <w:pStyle w:val="ListParagraph"/>
        <w:numPr>
          <w:ilvl w:val="1"/>
          <w:numId w:val="12"/>
        </w:numPr>
        <w:spacing w:after="160" w:line="259" w:lineRule="auto"/>
        <w:rPr>
          <w:rFonts w:ascii="Arial" w:hAnsi="Arial" w:cs="Arial"/>
          <w:color w:val="002060"/>
          <w:sz w:val="18"/>
          <w:szCs w:val="18"/>
        </w:rPr>
      </w:pPr>
      <w:r w:rsidRPr="00A87956">
        <w:rPr>
          <w:rFonts w:ascii="Arial" w:hAnsi="Arial" w:cs="Arial"/>
          <w:color w:val="002060"/>
          <w:sz w:val="18"/>
          <w:szCs w:val="18"/>
        </w:rPr>
        <w:t xml:space="preserve">Named on the North Carolina Office of State Budget and Management (OSBM) Suspension of Funding List (SOFL). The reporting period is weekly. </w:t>
      </w:r>
    </w:p>
    <w:p w14:paraId="4DC25757" w14:textId="77777777" w:rsidR="002263D5" w:rsidRPr="00A87956" w:rsidRDefault="002263D5" w:rsidP="00A87956">
      <w:pPr>
        <w:pStyle w:val="ListParagraph"/>
        <w:numPr>
          <w:ilvl w:val="1"/>
          <w:numId w:val="12"/>
        </w:numPr>
        <w:spacing w:after="160" w:line="259" w:lineRule="auto"/>
        <w:rPr>
          <w:rFonts w:ascii="Arial" w:hAnsi="Arial" w:cs="Arial"/>
          <w:color w:val="002060"/>
          <w:sz w:val="18"/>
          <w:szCs w:val="18"/>
        </w:rPr>
      </w:pPr>
      <w:r w:rsidRPr="00A87956">
        <w:rPr>
          <w:rFonts w:ascii="Arial" w:hAnsi="Arial" w:cs="Arial"/>
          <w:color w:val="002060"/>
          <w:sz w:val="18"/>
          <w:szCs w:val="18"/>
        </w:rPr>
        <w:t xml:space="preserve">Failure to submit the final report and all invoices within 20 working days (28 calendar days) following the closing and recording date of five or more conservation easement projects. The reporting period is annual. </w:t>
      </w:r>
    </w:p>
    <w:p w14:paraId="339D95AC" w14:textId="77777777" w:rsidR="002263D5" w:rsidRPr="00A87956" w:rsidRDefault="002263D5" w:rsidP="00A87956">
      <w:pPr>
        <w:pStyle w:val="ListParagraph"/>
        <w:numPr>
          <w:ilvl w:val="1"/>
          <w:numId w:val="12"/>
        </w:numPr>
        <w:spacing w:after="160" w:line="259" w:lineRule="auto"/>
        <w:rPr>
          <w:rFonts w:ascii="Arial" w:hAnsi="Arial" w:cs="Arial"/>
          <w:color w:val="002060"/>
          <w:sz w:val="18"/>
          <w:szCs w:val="18"/>
        </w:rPr>
      </w:pPr>
      <w:r w:rsidRPr="00A87956">
        <w:rPr>
          <w:rFonts w:ascii="Arial" w:hAnsi="Arial" w:cs="Arial"/>
          <w:color w:val="002060"/>
          <w:sz w:val="18"/>
          <w:szCs w:val="18"/>
        </w:rPr>
        <w:t>Failure to submit the final report and all invoices by the 10th of the month following the contract's ending date or within 20 working days (28 calendar days) following the completion of the project for five or more agricultural development projects or agricultural plans. The reporting period is annual.</w:t>
      </w:r>
    </w:p>
    <w:p w14:paraId="5B531E6A" w14:textId="0B3DCD5C" w:rsidR="00DE7FF4" w:rsidRPr="00A87956" w:rsidRDefault="002263D5" w:rsidP="002263D5">
      <w:pPr>
        <w:pStyle w:val="ListParagraph"/>
        <w:numPr>
          <w:ilvl w:val="0"/>
          <w:numId w:val="12"/>
        </w:numPr>
        <w:spacing w:after="160" w:line="259" w:lineRule="auto"/>
        <w:rPr>
          <w:rFonts w:ascii="Arial" w:hAnsi="Arial" w:cs="Arial"/>
          <w:color w:val="002060"/>
          <w:sz w:val="18"/>
          <w:szCs w:val="18"/>
        </w:rPr>
      </w:pPr>
      <w:r w:rsidRPr="00A87956">
        <w:rPr>
          <w:rFonts w:ascii="Arial" w:hAnsi="Arial" w:cs="Arial"/>
          <w:color w:val="002060"/>
          <w:sz w:val="18"/>
          <w:szCs w:val="18"/>
        </w:rPr>
        <w:t xml:space="preserve">All grant payments are frozen. The Grantee is not eligible for an ADFP Trust Fund grant application or contract. </w:t>
      </w:r>
      <w:r w:rsidR="005222A7" w:rsidRPr="00A87956">
        <w:rPr>
          <w:rFonts w:ascii="Arial" w:hAnsi="Arial" w:cs="Arial"/>
          <w:color w:val="002060"/>
          <w:sz w:val="20"/>
          <w:szCs w:val="20"/>
        </w:rPr>
        <w:t>(</w:t>
      </w:r>
      <w:r w:rsidR="005222A7" w:rsidRPr="00A87956">
        <w:rPr>
          <w:rFonts w:ascii="Arial" w:hAnsi="Arial" w:cs="Arial"/>
          <w:i/>
          <w:iCs/>
          <w:color w:val="002060"/>
          <w:sz w:val="20"/>
          <w:szCs w:val="20"/>
        </w:rPr>
        <w:t xml:space="preserve">Approved </w:t>
      </w:r>
      <w:r w:rsidRPr="00A87956">
        <w:rPr>
          <w:rFonts w:ascii="Arial" w:hAnsi="Arial" w:cs="Arial"/>
          <w:i/>
          <w:iCs/>
          <w:color w:val="002060"/>
          <w:sz w:val="20"/>
          <w:szCs w:val="20"/>
        </w:rPr>
        <w:t>02-18-2025</w:t>
      </w:r>
      <w:r w:rsidR="005222A7" w:rsidRPr="00A87956">
        <w:rPr>
          <w:rFonts w:ascii="Arial" w:hAnsi="Arial" w:cs="Arial"/>
          <w:i/>
          <w:iCs/>
          <w:color w:val="002060"/>
          <w:sz w:val="20"/>
          <w:szCs w:val="20"/>
        </w:rPr>
        <w:t>)</w:t>
      </w:r>
      <w:bookmarkEnd w:id="0"/>
    </w:p>
    <w:p w14:paraId="4D8E0749" w14:textId="77777777" w:rsidR="00DE7FF4" w:rsidRPr="00CD0492" w:rsidRDefault="00DE7FF4" w:rsidP="00DE7FF4">
      <w:pPr>
        <w:rPr>
          <w:rFonts w:ascii="Arial" w:hAnsi="Arial" w:cs="Arial"/>
          <w:b/>
          <w:color w:val="002060"/>
          <w:u w:val="single"/>
        </w:rPr>
      </w:pPr>
    </w:p>
    <w:p w14:paraId="2F9D83E1" w14:textId="12AE8E19" w:rsidR="00DE7FF4" w:rsidRPr="00CD0492" w:rsidRDefault="00DE7FF4" w:rsidP="00DE7FF4">
      <w:pPr>
        <w:rPr>
          <w:rFonts w:ascii="Arial" w:hAnsi="Arial" w:cs="Arial"/>
          <w:b/>
          <w:color w:val="002060"/>
          <w:u w:val="single"/>
        </w:rPr>
      </w:pPr>
      <w:r w:rsidRPr="00CD0492">
        <w:rPr>
          <w:rFonts w:ascii="Arial" w:hAnsi="Arial" w:cs="Arial"/>
          <w:b/>
          <w:color w:val="002060"/>
          <w:u w:val="single"/>
        </w:rPr>
        <w:t>Partnership and Special Appropriation Funding &amp; Granting Process</w:t>
      </w:r>
    </w:p>
    <w:p w14:paraId="48D92DF9" w14:textId="77777777" w:rsidR="00DE7FF4" w:rsidRPr="00CD0492" w:rsidRDefault="00DE7FF4" w:rsidP="00DE7FF4">
      <w:pPr>
        <w:rPr>
          <w:rFonts w:ascii="Arial" w:hAnsi="Arial" w:cs="Arial"/>
          <w:b/>
          <w:color w:val="002060"/>
          <w:u w:val="single"/>
        </w:rPr>
      </w:pPr>
    </w:p>
    <w:p w14:paraId="4EC57E20" w14:textId="15A8B833" w:rsidR="00DE7FF4" w:rsidRPr="00CD0492" w:rsidRDefault="00DE7FF4" w:rsidP="00DE7FF4">
      <w:pPr>
        <w:rPr>
          <w:rFonts w:ascii="Arial" w:hAnsi="Arial" w:cs="Arial"/>
          <w:color w:val="002060"/>
          <w:sz w:val="18"/>
          <w:szCs w:val="18"/>
        </w:rPr>
      </w:pPr>
      <w:r w:rsidRPr="00CD0492">
        <w:rPr>
          <w:rFonts w:ascii="Arial" w:hAnsi="Arial" w:cs="Arial"/>
          <w:b/>
          <w:color w:val="002060"/>
          <w:sz w:val="18"/>
          <w:szCs w:val="18"/>
        </w:rPr>
        <w:t xml:space="preserve">Application Process: </w:t>
      </w:r>
      <w:r w:rsidRPr="00CD0492">
        <w:rPr>
          <w:rFonts w:ascii="Arial" w:hAnsi="Arial" w:cs="Arial"/>
          <w:color w:val="002060"/>
          <w:sz w:val="18"/>
          <w:szCs w:val="18"/>
        </w:rPr>
        <w:t>Application for grant funding will follow authorizing appropriation protocols and consider the objectives of partner funding directives.  ADFPTF may restrict or designate areas within North Carolina to give recognition of partnership protocols when using partnership funding, provided all legal and state budget rules are met.  ADFPTF staff shall review applications for partnership and special appropriation grant requests and report their recommendations for grant awards to the Advisory Committee.  The Advisory Committee shall then review and make recommendations to the Commissioner of Agriculture for grant contracting consideration</w:t>
      </w:r>
      <w:r w:rsidRPr="008969C1">
        <w:rPr>
          <w:rFonts w:ascii="Arial" w:hAnsi="Arial" w:cs="Arial"/>
          <w:color w:val="002060"/>
          <w:sz w:val="18"/>
          <w:szCs w:val="18"/>
        </w:rPr>
        <w:t>.</w:t>
      </w:r>
      <w:r w:rsidR="005222A7" w:rsidRPr="008969C1">
        <w:rPr>
          <w:rFonts w:ascii="Arial" w:hAnsi="Arial" w:cs="Arial"/>
          <w:color w:val="002060"/>
          <w:sz w:val="18"/>
          <w:szCs w:val="18"/>
        </w:rPr>
        <w:t xml:space="preserve">  (</w:t>
      </w:r>
      <w:r w:rsidR="005222A7" w:rsidRPr="008969C1">
        <w:rPr>
          <w:rFonts w:ascii="Arial" w:hAnsi="Arial" w:cs="Arial"/>
          <w:i/>
          <w:iCs/>
          <w:color w:val="002060"/>
          <w:sz w:val="18"/>
          <w:szCs w:val="18"/>
        </w:rPr>
        <w:t>Approved 2-18-2021)</w:t>
      </w:r>
    </w:p>
    <w:p w14:paraId="5C3281E8" w14:textId="77777777" w:rsidR="00DE7FF4" w:rsidRPr="00CD0492" w:rsidRDefault="00DE7FF4" w:rsidP="00855158">
      <w:pPr>
        <w:rPr>
          <w:rFonts w:ascii="Arial" w:hAnsi="Arial" w:cs="Arial"/>
          <w:b/>
          <w:color w:val="002060"/>
          <w:sz w:val="22"/>
          <w:szCs w:val="22"/>
          <w:u w:val="single"/>
        </w:rPr>
      </w:pPr>
    </w:p>
    <w:p w14:paraId="035C9497" w14:textId="022E22DE" w:rsidR="00F23E3D" w:rsidRPr="00CD0492" w:rsidRDefault="00F23E3D" w:rsidP="00855158">
      <w:pPr>
        <w:rPr>
          <w:rFonts w:ascii="Arial" w:hAnsi="Arial" w:cs="Arial"/>
          <w:b/>
          <w:color w:val="002060"/>
          <w:sz w:val="22"/>
          <w:szCs w:val="22"/>
          <w:u w:val="single"/>
        </w:rPr>
      </w:pPr>
      <w:r w:rsidRPr="00CD0492">
        <w:rPr>
          <w:rFonts w:ascii="Arial" w:hAnsi="Arial" w:cs="Arial"/>
          <w:b/>
          <w:color w:val="002060"/>
          <w:sz w:val="22"/>
          <w:szCs w:val="22"/>
          <w:u w:val="single"/>
        </w:rPr>
        <w:t>Statewide Grant Applications</w:t>
      </w:r>
      <w:r w:rsidR="00984335" w:rsidRPr="00CD0492">
        <w:rPr>
          <w:rFonts w:ascii="Arial" w:hAnsi="Arial" w:cs="Arial"/>
          <w:b/>
          <w:color w:val="002060"/>
          <w:sz w:val="22"/>
          <w:szCs w:val="22"/>
          <w:u w:val="single"/>
        </w:rPr>
        <w:t xml:space="preserve"> Protocols</w:t>
      </w:r>
    </w:p>
    <w:p w14:paraId="11BD249F" w14:textId="77777777" w:rsidR="00F23E3D" w:rsidRPr="00CD0492" w:rsidRDefault="00F23E3D" w:rsidP="00855158">
      <w:pPr>
        <w:rPr>
          <w:rFonts w:ascii="Arial" w:hAnsi="Arial" w:cs="Arial"/>
          <w:b/>
          <w:color w:val="002060"/>
          <w:sz w:val="22"/>
          <w:szCs w:val="22"/>
          <w:u w:val="single"/>
        </w:rPr>
      </w:pPr>
    </w:p>
    <w:p w14:paraId="2032B158" w14:textId="5E4E6227" w:rsidR="00F23E3D" w:rsidRPr="00CD0492" w:rsidRDefault="00F23E3D" w:rsidP="00855158">
      <w:pPr>
        <w:rPr>
          <w:rFonts w:ascii="Arial" w:hAnsi="Arial" w:cs="Arial"/>
          <w:color w:val="002060"/>
          <w:sz w:val="18"/>
          <w:szCs w:val="18"/>
        </w:rPr>
      </w:pPr>
      <w:r w:rsidRPr="00CD0492">
        <w:rPr>
          <w:rFonts w:ascii="Arial" w:hAnsi="Arial" w:cs="Arial"/>
          <w:b/>
          <w:color w:val="002060"/>
          <w:sz w:val="18"/>
          <w:szCs w:val="18"/>
        </w:rPr>
        <w:t xml:space="preserve">Public Notice:  </w:t>
      </w:r>
      <w:r w:rsidRPr="00CD0492">
        <w:rPr>
          <w:rFonts w:ascii="Arial" w:hAnsi="Arial" w:cs="Arial"/>
          <w:color w:val="002060"/>
          <w:sz w:val="18"/>
          <w:szCs w:val="18"/>
        </w:rPr>
        <w:t xml:space="preserve">The grant cycle or application period will be announced in a reasonable and acceptable time on the ADFPTF website and other approved </w:t>
      </w:r>
      <w:r w:rsidR="001A4F9A" w:rsidRPr="00CD0492">
        <w:rPr>
          <w:rFonts w:ascii="Arial" w:hAnsi="Arial" w:cs="Arial"/>
          <w:color w:val="002060"/>
          <w:sz w:val="18"/>
          <w:szCs w:val="18"/>
        </w:rPr>
        <w:t>methods</w:t>
      </w:r>
      <w:r w:rsidRPr="00CD0492">
        <w:rPr>
          <w:rFonts w:ascii="Arial" w:hAnsi="Arial" w:cs="Arial"/>
          <w:color w:val="002060"/>
          <w:sz w:val="18"/>
          <w:szCs w:val="18"/>
        </w:rPr>
        <w:t xml:space="preserve"> </w:t>
      </w:r>
      <w:r w:rsidR="00FB7EBE" w:rsidRPr="00CD0492">
        <w:rPr>
          <w:rFonts w:ascii="Arial" w:hAnsi="Arial" w:cs="Arial"/>
          <w:color w:val="002060"/>
          <w:sz w:val="18"/>
          <w:szCs w:val="18"/>
        </w:rPr>
        <w:t>before</w:t>
      </w:r>
      <w:r w:rsidRPr="00CD0492">
        <w:rPr>
          <w:rFonts w:ascii="Arial" w:hAnsi="Arial" w:cs="Arial"/>
          <w:color w:val="002060"/>
          <w:sz w:val="18"/>
          <w:szCs w:val="18"/>
        </w:rPr>
        <w:t xml:space="preserve"> the initial application period.  Unless revised by the Commissioner of Agriculture, an annual application </w:t>
      </w:r>
      <w:r w:rsidR="00C75826" w:rsidRPr="00CD0492">
        <w:rPr>
          <w:rFonts w:ascii="Arial" w:hAnsi="Arial" w:cs="Arial"/>
          <w:color w:val="002060"/>
          <w:sz w:val="18"/>
          <w:szCs w:val="18"/>
        </w:rPr>
        <w:t xml:space="preserve">period will </w:t>
      </w:r>
      <w:r w:rsidR="00FB7EBE" w:rsidRPr="00CD0492">
        <w:rPr>
          <w:rFonts w:ascii="Arial" w:hAnsi="Arial" w:cs="Arial"/>
          <w:color w:val="002060"/>
          <w:sz w:val="18"/>
          <w:szCs w:val="18"/>
        </w:rPr>
        <w:t>last a minimum</w:t>
      </w:r>
      <w:r w:rsidR="00C75826" w:rsidRPr="00CD0492">
        <w:rPr>
          <w:rFonts w:ascii="Arial" w:hAnsi="Arial" w:cs="Arial"/>
          <w:color w:val="002060"/>
          <w:sz w:val="18"/>
          <w:szCs w:val="18"/>
        </w:rPr>
        <w:t xml:space="preserve"> </w:t>
      </w:r>
      <w:r w:rsidR="00FB7EBE" w:rsidRPr="00CD0492">
        <w:rPr>
          <w:rFonts w:ascii="Arial" w:hAnsi="Arial" w:cs="Arial"/>
          <w:color w:val="002060"/>
          <w:sz w:val="18"/>
          <w:szCs w:val="18"/>
        </w:rPr>
        <w:t xml:space="preserve">of </w:t>
      </w:r>
      <w:r w:rsidR="00C75826" w:rsidRPr="00CD0492">
        <w:rPr>
          <w:rFonts w:ascii="Arial" w:hAnsi="Arial" w:cs="Arial"/>
          <w:color w:val="002060"/>
          <w:sz w:val="18"/>
          <w:szCs w:val="18"/>
        </w:rPr>
        <w:t xml:space="preserve">60 </w:t>
      </w:r>
      <w:r w:rsidR="00FB7EBE" w:rsidRPr="00CD0492">
        <w:rPr>
          <w:rFonts w:ascii="Arial" w:hAnsi="Arial" w:cs="Arial"/>
          <w:color w:val="002060"/>
          <w:sz w:val="18"/>
          <w:szCs w:val="18"/>
        </w:rPr>
        <w:t xml:space="preserve">calendar </w:t>
      </w:r>
      <w:r w:rsidR="00C75826" w:rsidRPr="00CD0492">
        <w:rPr>
          <w:rFonts w:ascii="Arial" w:hAnsi="Arial" w:cs="Arial"/>
          <w:color w:val="002060"/>
          <w:sz w:val="18"/>
          <w:szCs w:val="18"/>
        </w:rPr>
        <w:t xml:space="preserve">days between mid-October </w:t>
      </w:r>
      <w:r w:rsidR="00FB7EBE" w:rsidRPr="00CD0492">
        <w:rPr>
          <w:rFonts w:ascii="Arial" w:hAnsi="Arial" w:cs="Arial"/>
          <w:color w:val="002060"/>
          <w:sz w:val="18"/>
          <w:szCs w:val="18"/>
        </w:rPr>
        <w:t>and</w:t>
      </w:r>
      <w:r w:rsidR="00C75826" w:rsidRPr="00CD0492">
        <w:rPr>
          <w:rFonts w:ascii="Arial" w:hAnsi="Arial" w:cs="Arial"/>
          <w:color w:val="002060"/>
          <w:sz w:val="18"/>
          <w:szCs w:val="18"/>
        </w:rPr>
        <w:t xml:space="preserve"> mid-December</w:t>
      </w:r>
      <w:r w:rsidR="00C75826" w:rsidRPr="006A5012">
        <w:rPr>
          <w:rFonts w:ascii="Arial" w:hAnsi="Arial" w:cs="Arial"/>
          <w:color w:val="002060"/>
          <w:sz w:val="18"/>
          <w:szCs w:val="18"/>
        </w:rPr>
        <w:t>.</w:t>
      </w:r>
      <w:r w:rsidR="005222A7" w:rsidRPr="006A5012">
        <w:rPr>
          <w:rFonts w:ascii="Arial" w:hAnsi="Arial" w:cs="Arial"/>
          <w:color w:val="002060"/>
          <w:sz w:val="18"/>
          <w:szCs w:val="18"/>
        </w:rPr>
        <w:t xml:space="preserve">  (</w:t>
      </w:r>
      <w:r w:rsidR="005222A7" w:rsidRPr="006A5012">
        <w:rPr>
          <w:rFonts w:ascii="Arial" w:hAnsi="Arial" w:cs="Arial"/>
          <w:i/>
          <w:iCs/>
          <w:color w:val="002060"/>
          <w:sz w:val="18"/>
          <w:szCs w:val="18"/>
        </w:rPr>
        <w:t>Approved 2-18-2021)</w:t>
      </w:r>
    </w:p>
    <w:p w14:paraId="53CA3EAE" w14:textId="77777777" w:rsidR="00C75826" w:rsidRPr="00CD0492" w:rsidRDefault="00C75826" w:rsidP="00855158">
      <w:pPr>
        <w:rPr>
          <w:rFonts w:ascii="Arial" w:hAnsi="Arial" w:cs="Arial"/>
          <w:color w:val="002060"/>
          <w:sz w:val="18"/>
          <w:szCs w:val="18"/>
        </w:rPr>
      </w:pPr>
    </w:p>
    <w:p w14:paraId="10D37E84" w14:textId="23ED0CD5" w:rsidR="00C75826" w:rsidRPr="00CD0492" w:rsidRDefault="00C75826" w:rsidP="00855158">
      <w:pPr>
        <w:rPr>
          <w:rFonts w:ascii="Arial" w:hAnsi="Arial" w:cs="Arial"/>
          <w:color w:val="002060"/>
          <w:sz w:val="18"/>
          <w:szCs w:val="18"/>
        </w:rPr>
      </w:pPr>
      <w:r w:rsidRPr="00CD0492">
        <w:rPr>
          <w:rFonts w:ascii="Arial" w:hAnsi="Arial" w:cs="Arial"/>
          <w:b/>
          <w:color w:val="002060"/>
          <w:sz w:val="18"/>
          <w:szCs w:val="18"/>
        </w:rPr>
        <w:t xml:space="preserve">Evaluation Protocols: </w:t>
      </w:r>
      <w:r w:rsidRPr="00CD0492">
        <w:rPr>
          <w:rFonts w:ascii="Arial" w:hAnsi="Arial" w:cs="Arial"/>
          <w:color w:val="002060"/>
          <w:sz w:val="18"/>
          <w:szCs w:val="18"/>
        </w:rPr>
        <w:t xml:space="preserve">The evaluation method for selection and ranking applications for consideration of a grant shall be posted on the ADFPTF website.  Evaluation tools used for </w:t>
      </w:r>
      <w:r w:rsidR="00FB7EBE" w:rsidRPr="00CD0492">
        <w:rPr>
          <w:rFonts w:ascii="Arial" w:hAnsi="Arial" w:cs="Arial"/>
          <w:color w:val="002060"/>
          <w:sz w:val="18"/>
          <w:szCs w:val="18"/>
        </w:rPr>
        <w:t xml:space="preserve">the </w:t>
      </w:r>
      <w:r w:rsidRPr="00CD0492">
        <w:rPr>
          <w:rFonts w:ascii="Arial" w:hAnsi="Arial" w:cs="Arial"/>
          <w:color w:val="002060"/>
          <w:sz w:val="18"/>
          <w:szCs w:val="18"/>
        </w:rPr>
        <w:t xml:space="preserve">selection of potential grants shall be exhibited.  ADFPTF staff will provide </w:t>
      </w:r>
      <w:r w:rsidR="00FB7EBE" w:rsidRPr="00CD0492">
        <w:rPr>
          <w:rFonts w:ascii="Arial" w:hAnsi="Arial" w:cs="Arial"/>
          <w:color w:val="002060"/>
          <w:sz w:val="18"/>
          <w:szCs w:val="18"/>
        </w:rPr>
        <w:t xml:space="preserve">an </w:t>
      </w:r>
      <w:r w:rsidRPr="00CD0492">
        <w:rPr>
          <w:rFonts w:ascii="Arial" w:hAnsi="Arial" w:cs="Arial"/>
          <w:color w:val="002060"/>
          <w:sz w:val="18"/>
          <w:szCs w:val="18"/>
        </w:rPr>
        <w:t>evaluation ranking of all eligible applicants for the ADFPTF Advisory Committee review</w:t>
      </w:r>
      <w:r w:rsidR="00FB7EBE" w:rsidRPr="00CD0492">
        <w:rPr>
          <w:rFonts w:ascii="Arial" w:hAnsi="Arial" w:cs="Arial"/>
          <w:color w:val="002060"/>
          <w:sz w:val="18"/>
          <w:szCs w:val="18"/>
        </w:rPr>
        <w:t>. After considering the staff recommendations, t</w:t>
      </w:r>
      <w:r w:rsidRPr="00CD0492">
        <w:rPr>
          <w:rFonts w:ascii="Arial" w:hAnsi="Arial" w:cs="Arial"/>
          <w:color w:val="002060"/>
          <w:sz w:val="18"/>
          <w:szCs w:val="18"/>
        </w:rPr>
        <w:t>he Advisory Committee shall provide a</w:t>
      </w:r>
      <w:r w:rsidR="00BF408E" w:rsidRPr="00CD0492">
        <w:rPr>
          <w:rFonts w:ascii="Arial" w:hAnsi="Arial" w:cs="Arial"/>
          <w:color w:val="002060"/>
          <w:sz w:val="18"/>
          <w:szCs w:val="18"/>
        </w:rPr>
        <w:t xml:space="preserve"> rank</w:t>
      </w:r>
      <w:r w:rsidR="00FB7EBE" w:rsidRPr="00CD0492">
        <w:rPr>
          <w:rFonts w:ascii="Arial" w:hAnsi="Arial" w:cs="Arial"/>
          <w:color w:val="002060"/>
          <w:sz w:val="18"/>
          <w:szCs w:val="18"/>
        </w:rPr>
        <w:t>ed</w:t>
      </w:r>
      <w:r w:rsidR="00BF408E" w:rsidRPr="00CD0492">
        <w:rPr>
          <w:rFonts w:ascii="Arial" w:hAnsi="Arial" w:cs="Arial"/>
          <w:color w:val="002060"/>
          <w:sz w:val="18"/>
          <w:szCs w:val="18"/>
        </w:rPr>
        <w:t xml:space="preserve"> evaluation of the applicants to the Commissioner of Agriculture for consideration as </w:t>
      </w:r>
      <w:r w:rsidR="00FB7EBE" w:rsidRPr="00CD0492">
        <w:rPr>
          <w:rFonts w:ascii="Arial" w:hAnsi="Arial" w:cs="Arial"/>
          <w:color w:val="002060"/>
          <w:sz w:val="18"/>
          <w:szCs w:val="18"/>
        </w:rPr>
        <w:t xml:space="preserve">potential </w:t>
      </w:r>
      <w:r w:rsidR="00BF408E" w:rsidRPr="00CD0492">
        <w:rPr>
          <w:rFonts w:ascii="Arial" w:hAnsi="Arial" w:cs="Arial"/>
          <w:color w:val="002060"/>
          <w:sz w:val="18"/>
          <w:szCs w:val="18"/>
        </w:rPr>
        <w:t>grantees</w:t>
      </w:r>
      <w:r w:rsidR="00BF408E" w:rsidRPr="006A5012">
        <w:rPr>
          <w:rFonts w:ascii="Arial" w:hAnsi="Arial" w:cs="Arial"/>
          <w:color w:val="002060"/>
          <w:sz w:val="18"/>
          <w:szCs w:val="18"/>
        </w:rPr>
        <w:t>.</w:t>
      </w:r>
      <w:r w:rsidR="005222A7" w:rsidRPr="006A5012">
        <w:rPr>
          <w:rFonts w:ascii="Arial" w:hAnsi="Arial" w:cs="Arial"/>
          <w:color w:val="002060"/>
          <w:sz w:val="18"/>
          <w:szCs w:val="18"/>
        </w:rPr>
        <w:t xml:space="preserve">  (</w:t>
      </w:r>
      <w:r w:rsidR="005222A7" w:rsidRPr="006A5012">
        <w:rPr>
          <w:rFonts w:ascii="Arial" w:hAnsi="Arial" w:cs="Arial"/>
          <w:i/>
          <w:iCs/>
          <w:color w:val="002060"/>
          <w:sz w:val="18"/>
          <w:szCs w:val="18"/>
        </w:rPr>
        <w:t>Approved 2-18-2021)</w:t>
      </w:r>
    </w:p>
    <w:p w14:paraId="524C0772" w14:textId="49C6911B" w:rsidR="00984335" w:rsidRPr="00CD0492" w:rsidRDefault="00984335" w:rsidP="00855158">
      <w:pPr>
        <w:rPr>
          <w:rFonts w:ascii="Arial" w:hAnsi="Arial" w:cs="Arial"/>
          <w:color w:val="002060"/>
          <w:sz w:val="18"/>
          <w:szCs w:val="18"/>
        </w:rPr>
      </w:pPr>
    </w:p>
    <w:p w14:paraId="4450037D" w14:textId="77777777" w:rsidR="003B4A15" w:rsidRPr="003B4A15" w:rsidRDefault="00984335" w:rsidP="003B4A15">
      <w:pPr>
        <w:rPr>
          <w:rFonts w:ascii="Arial" w:hAnsi="Arial" w:cs="Arial"/>
          <w:color w:val="002060"/>
          <w:sz w:val="18"/>
          <w:szCs w:val="18"/>
        </w:rPr>
      </w:pPr>
      <w:r w:rsidRPr="00CD0492">
        <w:rPr>
          <w:rFonts w:ascii="Arial" w:hAnsi="Arial" w:cs="Arial"/>
          <w:b/>
          <w:color w:val="002060"/>
          <w:sz w:val="18"/>
          <w:szCs w:val="18"/>
        </w:rPr>
        <w:t>Maximum Grant Request Amount:</w:t>
      </w:r>
      <w:r w:rsidR="00581442" w:rsidRPr="00CD0492">
        <w:rPr>
          <w:rFonts w:ascii="Arial" w:hAnsi="Arial" w:cs="Arial"/>
          <w:b/>
          <w:color w:val="002060"/>
          <w:sz w:val="18"/>
          <w:szCs w:val="18"/>
        </w:rPr>
        <w:t xml:space="preserve">  </w:t>
      </w:r>
      <w:r w:rsidR="003B4A15" w:rsidRPr="003B4A15">
        <w:rPr>
          <w:rFonts w:ascii="Arial" w:hAnsi="Arial" w:cs="Arial"/>
          <w:color w:val="002060"/>
          <w:sz w:val="18"/>
          <w:szCs w:val="18"/>
        </w:rPr>
        <w:t xml:space="preserve">The maximum grant requests per application are as follows: </w:t>
      </w:r>
    </w:p>
    <w:p w14:paraId="4CA2B83D" w14:textId="41A75407" w:rsidR="003B4A15" w:rsidRPr="003B4A15" w:rsidRDefault="003B4A15" w:rsidP="003B4A15">
      <w:pPr>
        <w:ind w:left="477" w:hanging="117"/>
        <w:rPr>
          <w:rFonts w:ascii="Arial" w:hAnsi="Arial" w:cs="Arial"/>
          <w:color w:val="002060"/>
          <w:sz w:val="18"/>
          <w:szCs w:val="18"/>
        </w:rPr>
      </w:pPr>
      <w:r w:rsidRPr="003B4A15">
        <w:rPr>
          <w:rFonts w:ascii="Arial" w:hAnsi="Arial" w:cs="Arial"/>
          <w:color w:val="002060"/>
          <w:sz w:val="18"/>
          <w:szCs w:val="18"/>
        </w:rPr>
        <w:t>•</w:t>
      </w:r>
      <w:r>
        <w:rPr>
          <w:rFonts w:ascii="Arial" w:hAnsi="Arial" w:cs="Arial"/>
          <w:color w:val="002060"/>
          <w:sz w:val="18"/>
          <w:szCs w:val="18"/>
        </w:rPr>
        <w:t xml:space="preserve"> </w:t>
      </w:r>
      <w:r w:rsidRPr="003B4A15">
        <w:rPr>
          <w:rFonts w:ascii="Arial" w:hAnsi="Arial" w:cs="Arial"/>
          <w:color w:val="002060"/>
          <w:sz w:val="18"/>
          <w:szCs w:val="18"/>
        </w:rPr>
        <w:t xml:space="preserve">There is no maximum grant request for agricultural conservation easement applications. </w:t>
      </w:r>
    </w:p>
    <w:p w14:paraId="1982D03B" w14:textId="3FB40EA8" w:rsidR="003B4A15" w:rsidRPr="003B4A15" w:rsidRDefault="003B4A15" w:rsidP="003B4A15">
      <w:pPr>
        <w:ind w:left="477" w:hanging="117"/>
        <w:rPr>
          <w:rFonts w:ascii="Arial" w:hAnsi="Arial" w:cs="Arial"/>
          <w:color w:val="002060"/>
          <w:sz w:val="18"/>
          <w:szCs w:val="18"/>
        </w:rPr>
      </w:pPr>
      <w:r w:rsidRPr="003B4A15">
        <w:rPr>
          <w:rFonts w:ascii="Arial" w:hAnsi="Arial" w:cs="Arial"/>
          <w:color w:val="002060"/>
          <w:sz w:val="18"/>
          <w:szCs w:val="18"/>
        </w:rPr>
        <w:t>•</w:t>
      </w:r>
      <w:r>
        <w:rPr>
          <w:rFonts w:ascii="Arial" w:hAnsi="Arial" w:cs="Arial"/>
          <w:color w:val="002060"/>
          <w:sz w:val="18"/>
          <w:szCs w:val="18"/>
        </w:rPr>
        <w:t xml:space="preserve"> </w:t>
      </w:r>
      <w:r w:rsidRPr="003B4A15">
        <w:rPr>
          <w:rFonts w:ascii="Arial" w:hAnsi="Arial" w:cs="Arial"/>
          <w:color w:val="002060"/>
          <w:sz w:val="18"/>
          <w:szCs w:val="18"/>
        </w:rPr>
        <w:t xml:space="preserve">The maximum grant request per agricultural development project application is capped at $500,000. </w:t>
      </w:r>
    </w:p>
    <w:p w14:paraId="4A7B39A1" w14:textId="7E614DAB" w:rsidR="003B4A15" w:rsidRPr="003B4A15" w:rsidRDefault="003B4A15" w:rsidP="003B4A15">
      <w:pPr>
        <w:ind w:left="477" w:hanging="117"/>
        <w:rPr>
          <w:rFonts w:ascii="Arial" w:hAnsi="Arial" w:cs="Arial"/>
          <w:color w:val="002060"/>
          <w:sz w:val="18"/>
          <w:szCs w:val="18"/>
        </w:rPr>
      </w:pPr>
      <w:r w:rsidRPr="003B4A15">
        <w:rPr>
          <w:rFonts w:ascii="Arial" w:hAnsi="Arial" w:cs="Arial"/>
          <w:color w:val="002060"/>
          <w:sz w:val="18"/>
          <w:szCs w:val="18"/>
        </w:rPr>
        <w:lastRenderedPageBreak/>
        <w:t>•</w:t>
      </w:r>
      <w:r>
        <w:rPr>
          <w:rFonts w:ascii="Arial" w:hAnsi="Arial" w:cs="Arial"/>
          <w:color w:val="002060"/>
          <w:sz w:val="18"/>
          <w:szCs w:val="18"/>
        </w:rPr>
        <w:t xml:space="preserve"> </w:t>
      </w:r>
      <w:r w:rsidRPr="003B4A15">
        <w:rPr>
          <w:rFonts w:ascii="Arial" w:hAnsi="Arial" w:cs="Arial"/>
          <w:color w:val="002060"/>
          <w:sz w:val="18"/>
          <w:szCs w:val="18"/>
        </w:rPr>
        <w:t xml:space="preserve">The maximum grant request per local agricultural growth zone application is capped at $2,000,000. </w:t>
      </w:r>
    </w:p>
    <w:p w14:paraId="745EB94A" w14:textId="35766A0A" w:rsidR="003B4A15" w:rsidRPr="003B4A15" w:rsidRDefault="003B4A15" w:rsidP="003B4A15">
      <w:pPr>
        <w:ind w:left="477" w:hanging="117"/>
        <w:rPr>
          <w:rFonts w:ascii="Arial" w:hAnsi="Arial" w:cs="Arial"/>
          <w:color w:val="002060"/>
          <w:sz w:val="18"/>
          <w:szCs w:val="18"/>
        </w:rPr>
      </w:pPr>
      <w:r w:rsidRPr="003B4A15">
        <w:rPr>
          <w:rFonts w:ascii="Arial" w:hAnsi="Arial" w:cs="Arial"/>
          <w:color w:val="002060"/>
          <w:sz w:val="18"/>
          <w:szCs w:val="18"/>
        </w:rPr>
        <w:t>•</w:t>
      </w:r>
      <w:r>
        <w:rPr>
          <w:rFonts w:ascii="Arial" w:hAnsi="Arial" w:cs="Arial"/>
          <w:color w:val="002060"/>
          <w:sz w:val="18"/>
          <w:szCs w:val="18"/>
        </w:rPr>
        <w:t xml:space="preserve"> </w:t>
      </w:r>
      <w:r w:rsidRPr="003B4A15">
        <w:rPr>
          <w:rFonts w:ascii="Arial" w:hAnsi="Arial" w:cs="Arial"/>
          <w:color w:val="002060"/>
          <w:sz w:val="18"/>
          <w:szCs w:val="18"/>
        </w:rPr>
        <w:t xml:space="preserve">The maximum grant request per additional conservation easement funds application is capped at 50 percent of the easement purchase value. </w:t>
      </w:r>
    </w:p>
    <w:p w14:paraId="70F749FC" w14:textId="0D2DFDFA" w:rsidR="003B4A15" w:rsidRPr="003B4A15" w:rsidRDefault="003B4A15" w:rsidP="003B4A15">
      <w:pPr>
        <w:ind w:left="477" w:hanging="117"/>
        <w:rPr>
          <w:rFonts w:ascii="Arial" w:hAnsi="Arial" w:cs="Arial"/>
          <w:color w:val="002060"/>
          <w:sz w:val="18"/>
          <w:szCs w:val="18"/>
        </w:rPr>
      </w:pPr>
      <w:r w:rsidRPr="003B4A15">
        <w:rPr>
          <w:rFonts w:ascii="Arial" w:hAnsi="Arial" w:cs="Arial"/>
          <w:color w:val="002060"/>
          <w:sz w:val="18"/>
          <w:szCs w:val="18"/>
        </w:rPr>
        <w:t>•</w:t>
      </w:r>
      <w:r>
        <w:rPr>
          <w:rFonts w:ascii="Arial" w:hAnsi="Arial" w:cs="Arial"/>
          <w:color w:val="002060"/>
          <w:sz w:val="18"/>
          <w:szCs w:val="18"/>
        </w:rPr>
        <w:t xml:space="preserve"> </w:t>
      </w:r>
      <w:r w:rsidRPr="003B4A15">
        <w:rPr>
          <w:rFonts w:ascii="Arial" w:hAnsi="Arial" w:cs="Arial"/>
          <w:color w:val="002060"/>
          <w:sz w:val="18"/>
          <w:szCs w:val="18"/>
        </w:rPr>
        <w:t xml:space="preserve">The maximum grant request per Voluntary Agricultural District application is capped at $8,500. </w:t>
      </w:r>
    </w:p>
    <w:p w14:paraId="1CA9579C" w14:textId="48F9A789" w:rsidR="00323288" w:rsidRPr="00CD0492" w:rsidRDefault="003B4A15" w:rsidP="003B4A15">
      <w:pPr>
        <w:ind w:left="477" w:hanging="117"/>
        <w:rPr>
          <w:rFonts w:ascii="Arial" w:hAnsi="Arial" w:cs="Arial"/>
          <w:color w:val="002060"/>
          <w:sz w:val="18"/>
          <w:szCs w:val="18"/>
        </w:rPr>
      </w:pPr>
      <w:r w:rsidRPr="003B4A15">
        <w:rPr>
          <w:rFonts w:ascii="Arial" w:hAnsi="Arial" w:cs="Arial"/>
          <w:color w:val="002060"/>
          <w:sz w:val="18"/>
          <w:szCs w:val="18"/>
        </w:rPr>
        <w:t>•</w:t>
      </w:r>
      <w:r>
        <w:rPr>
          <w:rFonts w:ascii="Arial" w:hAnsi="Arial" w:cs="Arial"/>
          <w:color w:val="002060"/>
          <w:sz w:val="18"/>
          <w:szCs w:val="18"/>
        </w:rPr>
        <w:t xml:space="preserve"> </w:t>
      </w:r>
      <w:r w:rsidRPr="003B4A15">
        <w:rPr>
          <w:rFonts w:ascii="Arial" w:hAnsi="Arial" w:cs="Arial"/>
          <w:color w:val="002060"/>
          <w:sz w:val="18"/>
          <w:szCs w:val="18"/>
        </w:rPr>
        <w:t>The maximum grant request per Farmland Protection Plan or Cost of Community Services Study application is capped at $17,000.</w:t>
      </w:r>
      <w:r w:rsidR="005222A7" w:rsidRPr="00CD0492">
        <w:rPr>
          <w:rFonts w:ascii="Arial" w:hAnsi="Arial" w:cs="Arial"/>
          <w:color w:val="002060"/>
          <w:sz w:val="18"/>
          <w:szCs w:val="18"/>
        </w:rPr>
        <w:t xml:space="preserve">  </w:t>
      </w:r>
      <w:r w:rsidR="005222A7" w:rsidRPr="003B4A15">
        <w:rPr>
          <w:rFonts w:ascii="Arial" w:hAnsi="Arial" w:cs="Arial"/>
          <w:i/>
          <w:iCs/>
          <w:color w:val="002060"/>
          <w:sz w:val="18"/>
          <w:szCs w:val="18"/>
        </w:rPr>
        <w:t xml:space="preserve">(Approved </w:t>
      </w:r>
      <w:r w:rsidRPr="003B4A15">
        <w:rPr>
          <w:rFonts w:ascii="Arial" w:hAnsi="Arial" w:cs="Arial"/>
          <w:i/>
          <w:iCs/>
          <w:color w:val="002060"/>
          <w:sz w:val="18"/>
          <w:szCs w:val="18"/>
        </w:rPr>
        <w:t>8</w:t>
      </w:r>
      <w:r w:rsidR="005222A7" w:rsidRPr="003B4A15">
        <w:rPr>
          <w:rFonts w:ascii="Arial" w:hAnsi="Arial" w:cs="Arial"/>
          <w:i/>
          <w:iCs/>
          <w:color w:val="002060"/>
          <w:sz w:val="18"/>
          <w:szCs w:val="18"/>
        </w:rPr>
        <w:t>-</w:t>
      </w:r>
      <w:r w:rsidRPr="003B4A15">
        <w:rPr>
          <w:rFonts w:ascii="Arial" w:hAnsi="Arial" w:cs="Arial"/>
          <w:i/>
          <w:iCs/>
          <w:color w:val="002060"/>
          <w:sz w:val="18"/>
          <w:szCs w:val="18"/>
        </w:rPr>
        <w:t>23</w:t>
      </w:r>
      <w:r w:rsidR="005222A7" w:rsidRPr="003B4A15">
        <w:rPr>
          <w:rFonts w:ascii="Arial" w:hAnsi="Arial" w:cs="Arial"/>
          <w:i/>
          <w:iCs/>
          <w:color w:val="002060"/>
          <w:sz w:val="18"/>
          <w:szCs w:val="18"/>
        </w:rPr>
        <w:t>-20</w:t>
      </w:r>
      <w:r w:rsidRPr="003B4A15">
        <w:rPr>
          <w:rFonts w:ascii="Arial" w:hAnsi="Arial" w:cs="Arial"/>
          <w:i/>
          <w:iCs/>
          <w:color w:val="002060"/>
          <w:sz w:val="18"/>
          <w:szCs w:val="18"/>
        </w:rPr>
        <w:t>23</w:t>
      </w:r>
      <w:r w:rsidR="005222A7" w:rsidRPr="003B4A15">
        <w:rPr>
          <w:rFonts w:ascii="Arial" w:hAnsi="Arial" w:cs="Arial"/>
          <w:i/>
          <w:iCs/>
          <w:color w:val="002060"/>
          <w:sz w:val="18"/>
          <w:szCs w:val="18"/>
        </w:rPr>
        <w:t>)</w:t>
      </w:r>
    </w:p>
    <w:p w14:paraId="72C540BF" w14:textId="77777777" w:rsidR="005C7DB2" w:rsidRPr="00CD0492" w:rsidRDefault="005C7DB2" w:rsidP="00855158">
      <w:pPr>
        <w:rPr>
          <w:rFonts w:ascii="Arial" w:hAnsi="Arial" w:cs="Arial"/>
          <w:color w:val="002060"/>
          <w:sz w:val="18"/>
          <w:szCs w:val="18"/>
        </w:rPr>
      </w:pPr>
    </w:p>
    <w:p w14:paraId="7E8F00B9" w14:textId="77777777" w:rsidR="00C75826" w:rsidRPr="00CD0492" w:rsidRDefault="00C75826" w:rsidP="00855158">
      <w:pPr>
        <w:rPr>
          <w:rFonts w:ascii="Arial" w:hAnsi="Arial" w:cs="Arial"/>
          <w:color w:val="002060"/>
          <w:sz w:val="18"/>
          <w:szCs w:val="18"/>
        </w:rPr>
      </w:pPr>
    </w:p>
    <w:p w14:paraId="4F1BAC25" w14:textId="77777777" w:rsidR="004F11EB" w:rsidRPr="00CD0492" w:rsidRDefault="004F11EB" w:rsidP="00855158">
      <w:pPr>
        <w:rPr>
          <w:rFonts w:ascii="Arial" w:hAnsi="Arial" w:cs="Arial"/>
          <w:b/>
          <w:color w:val="002060"/>
          <w:sz w:val="22"/>
          <w:szCs w:val="22"/>
          <w:u w:val="single"/>
        </w:rPr>
      </w:pPr>
      <w:r w:rsidRPr="00CD0492">
        <w:rPr>
          <w:rFonts w:ascii="Arial" w:hAnsi="Arial" w:cs="Arial"/>
          <w:b/>
          <w:color w:val="002060"/>
          <w:sz w:val="22"/>
          <w:szCs w:val="22"/>
          <w:u w:val="single"/>
        </w:rPr>
        <w:t>Grant Contract Budgeting &amp; Payments</w:t>
      </w:r>
    </w:p>
    <w:p w14:paraId="73A7F9DB" w14:textId="77777777" w:rsidR="004F11EB" w:rsidRPr="00CD0492" w:rsidRDefault="004F11EB" w:rsidP="00855158">
      <w:pPr>
        <w:rPr>
          <w:rFonts w:ascii="Arial" w:hAnsi="Arial" w:cs="Arial"/>
          <w:b/>
          <w:color w:val="002060"/>
          <w:sz w:val="18"/>
          <w:szCs w:val="18"/>
          <w:u w:val="single"/>
        </w:rPr>
      </w:pPr>
    </w:p>
    <w:p w14:paraId="0E292E6A" w14:textId="5A1CBD98" w:rsidR="004F11EB" w:rsidRPr="00CD0492" w:rsidRDefault="004F11EB" w:rsidP="00855158">
      <w:pPr>
        <w:rPr>
          <w:rFonts w:ascii="Arial" w:hAnsi="Arial" w:cs="Arial"/>
          <w:color w:val="002060"/>
          <w:sz w:val="18"/>
          <w:szCs w:val="18"/>
        </w:rPr>
      </w:pPr>
      <w:r w:rsidRPr="00CD0492">
        <w:rPr>
          <w:rFonts w:ascii="Arial" w:hAnsi="Arial" w:cs="Arial"/>
          <w:b/>
          <w:color w:val="002060"/>
          <w:sz w:val="18"/>
          <w:szCs w:val="18"/>
        </w:rPr>
        <w:t>10% Hold Back:</w:t>
      </w:r>
      <w:r w:rsidRPr="00CD0492">
        <w:rPr>
          <w:rFonts w:ascii="Arial" w:hAnsi="Arial" w:cs="Arial"/>
          <w:color w:val="002060"/>
          <w:sz w:val="18"/>
          <w:szCs w:val="18"/>
        </w:rPr>
        <w:t xml:space="preserve"> Grant contract budgeting and payments shall hold back 10% on all line items until </w:t>
      </w:r>
      <w:r w:rsidR="00FB7EBE" w:rsidRPr="00CD0492">
        <w:rPr>
          <w:rFonts w:ascii="Arial" w:hAnsi="Arial" w:cs="Arial"/>
          <w:color w:val="002060"/>
          <w:sz w:val="18"/>
          <w:szCs w:val="18"/>
        </w:rPr>
        <w:t>ADFPTF receives all required reports and documentation</w:t>
      </w:r>
      <w:r w:rsidRPr="00CD0492">
        <w:rPr>
          <w:rFonts w:ascii="Arial" w:hAnsi="Arial" w:cs="Arial"/>
          <w:color w:val="002060"/>
          <w:sz w:val="18"/>
          <w:szCs w:val="18"/>
        </w:rPr>
        <w:t>.  The full ADFPTF easement funding allocated for easement purchase may be submitted at closing</w:t>
      </w:r>
      <w:r w:rsidR="00FB7EBE" w:rsidRPr="00CD0492">
        <w:rPr>
          <w:rFonts w:ascii="Arial" w:hAnsi="Arial" w:cs="Arial"/>
          <w:color w:val="002060"/>
          <w:sz w:val="18"/>
          <w:szCs w:val="18"/>
        </w:rPr>
        <w:t>,</w:t>
      </w:r>
      <w:r w:rsidRPr="00CD0492">
        <w:rPr>
          <w:rFonts w:ascii="Arial" w:hAnsi="Arial" w:cs="Arial"/>
          <w:color w:val="002060"/>
          <w:sz w:val="18"/>
          <w:szCs w:val="18"/>
        </w:rPr>
        <w:t xml:space="preserve"> provided the closing attorney holds the 10% in escrow until all recorded documents and reports have been received and approved by NCDA&amp;CS. This </w:t>
      </w:r>
      <w:r w:rsidR="00FB7EBE" w:rsidRPr="00CD0492">
        <w:rPr>
          <w:rFonts w:ascii="Arial" w:hAnsi="Arial" w:cs="Arial"/>
          <w:color w:val="002060"/>
          <w:sz w:val="18"/>
          <w:szCs w:val="18"/>
        </w:rPr>
        <w:t xml:space="preserve">policy </w:t>
      </w:r>
      <w:r w:rsidRPr="00CD0492">
        <w:rPr>
          <w:rFonts w:ascii="Arial" w:hAnsi="Arial" w:cs="Arial"/>
          <w:color w:val="002060"/>
          <w:sz w:val="18"/>
          <w:szCs w:val="18"/>
        </w:rPr>
        <w:t>applies to all ADFPTF grant contracts.</w:t>
      </w:r>
    </w:p>
    <w:p w14:paraId="1BA24B7C" w14:textId="3C3690AA" w:rsidR="0037666B" w:rsidRPr="00CD0492" w:rsidRDefault="0037666B" w:rsidP="00855158">
      <w:pPr>
        <w:rPr>
          <w:rFonts w:ascii="Arial" w:hAnsi="Arial" w:cs="Arial"/>
          <w:color w:val="002060"/>
          <w:sz w:val="18"/>
          <w:szCs w:val="18"/>
        </w:rPr>
      </w:pPr>
    </w:p>
    <w:p w14:paraId="1458A194" w14:textId="72046B5D" w:rsidR="0037666B" w:rsidRPr="00CD0492" w:rsidRDefault="0037666B" w:rsidP="00855158">
      <w:pPr>
        <w:rPr>
          <w:rFonts w:ascii="Arial" w:hAnsi="Arial" w:cs="Arial"/>
          <w:color w:val="002060"/>
          <w:sz w:val="18"/>
          <w:szCs w:val="18"/>
        </w:rPr>
      </w:pPr>
      <w:r w:rsidRPr="00CD0492">
        <w:rPr>
          <w:rFonts w:ascii="Arial" w:hAnsi="Arial" w:cs="Arial"/>
          <w:color w:val="002060"/>
          <w:sz w:val="18"/>
          <w:szCs w:val="18"/>
        </w:rPr>
        <w:t xml:space="preserve">Grantees may request lowering of the hold back percentage provided the following criteria have been </w:t>
      </w:r>
      <w:r w:rsidR="00FC2C7C" w:rsidRPr="00CD0492">
        <w:rPr>
          <w:rFonts w:ascii="Arial" w:hAnsi="Arial" w:cs="Arial"/>
          <w:color w:val="002060"/>
          <w:sz w:val="18"/>
          <w:szCs w:val="18"/>
        </w:rPr>
        <w:t>provided:</w:t>
      </w:r>
    </w:p>
    <w:p w14:paraId="2E97C925" w14:textId="2C95AAFA" w:rsidR="00FC2C7C" w:rsidRPr="00CD0492" w:rsidRDefault="00FC2C7C" w:rsidP="00FC2C7C">
      <w:pPr>
        <w:pStyle w:val="ListParagraph"/>
        <w:numPr>
          <w:ilvl w:val="0"/>
          <w:numId w:val="11"/>
        </w:numPr>
        <w:rPr>
          <w:rFonts w:ascii="Arial" w:hAnsi="Arial" w:cs="Arial"/>
          <w:color w:val="002060"/>
          <w:sz w:val="18"/>
          <w:szCs w:val="18"/>
        </w:rPr>
      </w:pPr>
      <w:r w:rsidRPr="00CD0492">
        <w:rPr>
          <w:rFonts w:ascii="Arial" w:hAnsi="Arial" w:cs="Arial"/>
          <w:color w:val="002060"/>
          <w:sz w:val="18"/>
          <w:szCs w:val="18"/>
        </w:rPr>
        <w:t xml:space="preserve">An official request to the Commissioner of Agriculture with reasoning why the 10% hold back is </w:t>
      </w:r>
      <w:r w:rsidR="009166E2" w:rsidRPr="00CD0492">
        <w:rPr>
          <w:rFonts w:ascii="Arial" w:hAnsi="Arial" w:cs="Arial"/>
          <w:color w:val="002060"/>
          <w:sz w:val="18"/>
          <w:szCs w:val="18"/>
        </w:rPr>
        <w:t xml:space="preserve">an </w:t>
      </w:r>
      <w:r w:rsidRPr="00CD0492">
        <w:rPr>
          <w:rFonts w:ascii="Arial" w:hAnsi="Arial" w:cs="Arial"/>
          <w:color w:val="002060"/>
          <w:sz w:val="18"/>
          <w:szCs w:val="18"/>
        </w:rPr>
        <w:t>incomprehensible burden</w:t>
      </w:r>
      <w:r w:rsidR="009166E2" w:rsidRPr="00CD0492">
        <w:rPr>
          <w:rFonts w:ascii="Arial" w:hAnsi="Arial" w:cs="Arial"/>
          <w:color w:val="002060"/>
          <w:sz w:val="18"/>
          <w:szCs w:val="18"/>
        </w:rPr>
        <w:t>,</w:t>
      </w:r>
      <w:r w:rsidRPr="00CD0492">
        <w:rPr>
          <w:rFonts w:ascii="Arial" w:hAnsi="Arial" w:cs="Arial"/>
          <w:color w:val="002060"/>
          <w:sz w:val="18"/>
          <w:szCs w:val="18"/>
        </w:rPr>
        <w:t xml:space="preserve"> and a proposed revised hold back percentage.</w:t>
      </w:r>
    </w:p>
    <w:p w14:paraId="5CE642B1" w14:textId="11D7632F" w:rsidR="004F11EB" w:rsidRPr="00CD0492" w:rsidRDefault="00FC2C7C" w:rsidP="00177454">
      <w:pPr>
        <w:pStyle w:val="ListParagraph"/>
        <w:numPr>
          <w:ilvl w:val="0"/>
          <w:numId w:val="11"/>
        </w:numPr>
        <w:rPr>
          <w:rFonts w:ascii="Arial" w:hAnsi="Arial" w:cs="Arial"/>
          <w:color w:val="002060"/>
          <w:sz w:val="18"/>
          <w:szCs w:val="18"/>
        </w:rPr>
      </w:pPr>
      <w:r w:rsidRPr="00CD0492">
        <w:rPr>
          <w:rFonts w:ascii="Arial" w:hAnsi="Arial" w:cs="Arial"/>
          <w:color w:val="002060"/>
          <w:sz w:val="18"/>
          <w:szCs w:val="18"/>
        </w:rPr>
        <w:t xml:space="preserve">The </w:t>
      </w:r>
      <w:r w:rsidR="009166E2" w:rsidRPr="00CD0492">
        <w:rPr>
          <w:rFonts w:ascii="Arial" w:hAnsi="Arial" w:cs="Arial"/>
          <w:color w:val="002060"/>
          <w:sz w:val="18"/>
          <w:szCs w:val="18"/>
        </w:rPr>
        <w:t>G</w:t>
      </w:r>
      <w:r w:rsidRPr="00CD0492">
        <w:rPr>
          <w:rFonts w:ascii="Arial" w:hAnsi="Arial" w:cs="Arial"/>
          <w:color w:val="002060"/>
          <w:sz w:val="18"/>
          <w:szCs w:val="18"/>
        </w:rPr>
        <w:t>rantee has no record of</w:t>
      </w:r>
      <w:r w:rsidR="004C7B93" w:rsidRPr="00CD0492">
        <w:rPr>
          <w:rFonts w:ascii="Arial" w:hAnsi="Arial" w:cs="Arial"/>
          <w:color w:val="002060"/>
          <w:sz w:val="18"/>
          <w:szCs w:val="18"/>
        </w:rPr>
        <w:t xml:space="preserve"> infractions or late reports </w:t>
      </w:r>
      <w:r w:rsidR="004C4B4B" w:rsidRPr="00CD0492">
        <w:rPr>
          <w:rFonts w:ascii="Arial" w:hAnsi="Arial" w:cs="Arial"/>
          <w:color w:val="002060"/>
          <w:sz w:val="18"/>
          <w:szCs w:val="18"/>
        </w:rPr>
        <w:t xml:space="preserve">for ADFPTF </w:t>
      </w:r>
      <w:r w:rsidR="004C7B93" w:rsidRPr="00CD0492">
        <w:rPr>
          <w:rFonts w:ascii="Arial" w:hAnsi="Arial" w:cs="Arial"/>
          <w:color w:val="002060"/>
          <w:sz w:val="18"/>
          <w:szCs w:val="18"/>
        </w:rPr>
        <w:t>within the last two year</w:t>
      </w:r>
      <w:r w:rsidR="009166E2" w:rsidRPr="00CD0492">
        <w:rPr>
          <w:rFonts w:ascii="Arial" w:hAnsi="Arial" w:cs="Arial"/>
          <w:color w:val="002060"/>
          <w:sz w:val="18"/>
          <w:szCs w:val="18"/>
        </w:rPr>
        <w:t>s</w:t>
      </w:r>
      <w:r w:rsidR="004C7B93" w:rsidRPr="00CD0492">
        <w:rPr>
          <w:rFonts w:ascii="Arial" w:hAnsi="Arial" w:cs="Arial"/>
          <w:color w:val="002060"/>
          <w:sz w:val="18"/>
          <w:szCs w:val="18"/>
        </w:rPr>
        <w:t xml:space="preserve"> from the date of the </w:t>
      </w:r>
      <w:r w:rsidR="004C4B4B" w:rsidRPr="00CD0492">
        <w:rPr>
          <w:rFonts w:ascii="Arial" w:hAnsi="Arial" w:cs="Arial"/>
          <w:color w:val="002060"/>
          <w:sz w:val="18"/>
          <w:szCs w:val="18"/>
        </w:rPr>
        <w:t xml:space="preserve">revised hold back percentage </w:t>
      </w:r>
      <w:r w:rsidR="004C7B93" w:rsidRPr="00CD0492">
        <w:rPr>
          <w:rFonts w:ascii="Arial" w:hAnsi="Arial" w:cs="Arial"/>
          <w:color w:val="002060"/>
          <w:sz w:val="18"/>
          <w:szCs w:val="18"/>
        </w:rPr>
        <w:t>request</w:t>
      </w:r>
      <w:r w:rsidR="004C4B4B" w:rsidRPr="00CD0492">
        <w:rPr>
          <w:rFonts w:ascii="Arial" w:hAnsi="Arial" w:cs="Arial"/>
          <w:color w:val="002060"/>
          <w:sz w:val="18"/>
          <w:szCs w:val="18"/>
        </w:rPr>
        <w:t>.</w:t>
      </w:r>
      <w:r w:rsidR="004C7B93" w:rsidRPr="00CD0492">
        <w:rPr>
          <w:rFonts w:ascii="Arial" w:hAnsi="Arial" w:cs="Arial"/>
          <w:color w:val="002060"/>
          <w:sz w:val="18"/>
          <w:szCs w:val="18"/>
        </w:rPr>
        <w:t xml:space="preserve"> </w:t>
      </w:r>
    </w:p>
    <w:p w14:paraId="383FF821" w14:textId="539C851D" w:rsidR="004C4B4B" w:rsidRPr="00CD0492" w:rsidRDefault="004C4B4B" w:rsidP="00177454">
      <w:pPr>
        <w:pStyle w:val="ListParagraph"/>
        <w:numPr>
          <w:ilvl w:val="0"/>
          <w:numId w:val="11"/>
        </w:numPr>
        <w:rPr>
          <w:rFonts w:ascii="Arial" w:hAnsi="Arial" w:cs="Arial"/>
          <w:color w:val="002060"/>
          <w:sz w:val="18"/>
          <w:szCs w:val="18"/>
        </w:rPr>
      </w:pPr>
      <w:r w:rsidRPr="00CD0492">
        <w:rPr>
          <w:rFonts w:ascii="Arial" w:hAnsi="Arial" w:cs="Arial"/>
          <w:color w:val="002060"/>
          <w:sz w:val="18"/>
          <w:szCs w:val="18"/>
        </w:rPr>
        <w:t xml:space="preserve">If </w:t>
      </w:r>
      <w:bookmarkStart w:id="1" w:name="_Hlk63090154"/>
      <w:r w:rsidRPr="00CD0492">
        <w:rPr>
          <w:rFonts w:ascii="Arial" w:hAnsi="Arial" w:cs="Arial"/>
          <w:color w:val="002060"/>
          <w:sz w:val="18"/>
          <w:szCs w:val="18"/>
        </w:rPr>
        <w:t xml:space="preserve">an infraction or late report occurs during the contract period </w:t>
      </w:r>
      <w:r w:rsidR="00457D8B" w:rsidRPr="00CD0492">
        <w:rPr>
          <w:rFonts w:ascii="Arial" w:hAnsi="Arial" w:cs="Arial"/>
          <w:color w:val="002060"/>
          <w:sz w:val="18"/>
          <w:szCs w:val="18"/>
        </w:rPr>
        <w:t>of</w:t>
      </w:r>
      <w:r w:rsidRPr="00CD0492">
        <w:rPr>
          <w:rFonts w:ascii="Arial" w:hAnsi="Arial" w:cs="Arial"/>
          <w:color w:val="002060"/>
          <w:sz w:val="18"/>
          <w:szCs w:val="18"/>
        </w:rPr>
        <w:t xml:space="preserve"> the grant</w:t>
      </w:r>
      <w:bookmarkEnd w:id="1"/>
      <w:r w:rsidRPr="00CD0492">
        <w:rPr>
          <w:rFonts w:ascii="Arial" w:hAnsi="Arial" w:cs="Arial"/>
          <w:color w:val="002060"/>
          <w:sz w:val="18"/>
          <w:szCs w:val="18"/>
        </w:rPr>
        <w:t>, the hold back percentage shall be reinstated at 10% or higher as a corrective measure.</w:t>
      </w:r>
      <w:r w:rsidR="005222A7" w:rsidRPr="00CD0492">
        <w:rPr>
          <w:rFonts w:ascii="Arial" w:hAnsi="Arial" w:cs="Arial"/>
          <w:color w:val="002060"/>
          <w:sz w:val="18"/>
          <w:szCs w:val="18"/>
        </w:rPr>
        <w:t xml:space="preserve"> </w:t>
      </w:r>
      <w:r w:rsidR="00762007" w:rsidRPr="00CD0492">
        <w:rPr>
          <w:rFonts w:ascii="Arial" w:hAnsi="Arial" w:cs="Arial"/>
          <w:color w:val="002060"/>
          <w:sz w:val="20"/>
          <w:szCs w:val="20"/>
        </w:rPr>
        <w:t>(</w:t>
      </w:r>
      <w:r w:rsidR="00762007" w:rsidRPr="00CD0492">
        <w:rPr>
          <w:rFonts w:ascii="Arial" w:hAnsi="Arial" w:cs="Arial"/>
          <w:i/>
          <w:iCs/>
          <w:color w:val="002060"/>
          <w:sz w:val="20"/>
          <w:szCs w:val="20"/>
        </w:rPr>
        <w:t xml:space="preserve">Approved 2-18-2021) </w:t>
      </w:r>
      <w:r w:rsidR="00762007" w:rsidRPr="00CD0492">
        <w:rPr>
          <w:rFonts w:ascii="Arial" w:hAnsi="Arial" w:cs="Arial"/>
          <w:color w:val="002060"/>
          <w:sz w:val="18"/>
          <w:szCs w:val="18"/>
        </w:rPr>
        <w:t xml:space="preserve"> </w:t>
      </w:r>
    </w:p>
    <w:p w14:paraId="03DBDB79" w14:textId="2DEA5AA3" w:rsidR="004C4B4B" w:rsidRPr="00CD0492" w:rsidRDefault="004C4B4B" w:rsidP="004C4B4B">
      <w:pPr>
        <w:rPr>
          <w:rFonts w:ascii="Arial" w:hAnsi="Arial" w:cs="Arial"/>
          <w:color w:val="002060"/>
          <w:sz w:val="18"/>
          <w:szCs w:val="18"/>
        </w:rPr>
      </w:pPr>
    </w:p>
    <w:p w14:paraId="08996442" w14:textId="188E5217" w:rsidR="004F11EB" w:rsidRPr="00CD0492" w:rsidRDefault="004F11EB" w:rsidP="00F23E3D">
      <w:pPr>
        <w:rPr>
          <w:rFonts w:ascii="Arial" w:hAnsi="Arial" w:cs="Arial"/>
          <w:color w:val="002060"/>
          <w:sz w:val="18"/>
          <w:szCs w:val="18"/>
        </w:rPr>
      </w:pPr>
      <w:r w:rsidRPr="00CD0492">
        <w:rPr>
          <w:rFonts w:ascii="Arial" w:hAnsi="Arial" w:cs="Arial"/>
          <w:b/>
          <w:color w:val="002060"/>
          <w:sz w:val="18"/>
          <w:szCs w:val="18"/>
        </w:rPr>
        <w:t xml:space="preserve">Advancement of Conservation Easement Purchasing Funding: </w:t>
      </w:r>
      <w:r w:rsidRPr="00CD0492">
        <w:rPr>
          <w:rFonts w:ascii="Arial" w:hAnsi="Arial" w:cs="Arial"/>
          <w:color w:val="002060"/>
          <w:sz w:val="18"/>
          <w:szCs w:val="18"/>
        </w:rPr>
        <w:t xml:space="preserve">The conservation easement closing payment </w:t>
      </w:r>
      <w:r w:rsidR="00FB7EBE" w:rsidRPr="00CD0492">
        <w:rPr>
          <w:rFonts w:ascii="Arial" w:hAnsi="Arial" w:cs="Arial"/>
          <w:color w:val="002060"/>
          <w:sz w:val="18"/>
          <w:szCs w:val="18"/>
        </w:rPr>
        <w:t>request</w:t>
      </w:r>
      <w:r w:rsidRPr="00CD0492">
        <w:rPr>
          <w:rFonts w:ascii="Arial" w:hAnsi="Arial" w:cs="Arial"/>
          <w:color w:val="002060"/>
          <w:sz w:val="18"/>
          <w:szCs w:val="18"/>
        </w:rPr>
        <w:t xml:space="preserve"> </w:t>
      </w:r>
      <w:r w:rsidR="00560B50" w:rsidRPr="00CD0492">
        <w:rPr>
          <w:rFonts w:ascii="Arial" w:hAnsi="Arial" w:cs="Arial"/>
          <w:color w:val="002060"/>
          <w:sz w:val="18"/>
          <w:szCs w:val="18"/>
        </w:rPr>
        <w:t xml:space="preserve">may </w:t>
      </w:r>
      <w:r w:rsidRPr="00CD0492">
        <w:rPr>
          <w:rFonts w:ascii="Arial" w:hAnsi="Arial" w:cs="Arial"/>
          <w:color w:val="002060"/>
          <w:sz w:val="18"/>
          <w:szCs w:val="18"/>
        </w:rPr>
        <w:t xml:space="preserve">be </w:t>
      </w:r>
      <w:r w:rsidR="00FB7EBE" w:rsidRPr="00CD0492">
        <w:rPr>
          <w:rFonts w:ascii="Arial" w:hAnsi="Arial" w:cs="Arial"/>
          <w:color w:val="002060"/>
          <w:sz w:val="18"/>
          <w:szCs w:val="18"/>
        </w:rPr>
        <w:t>submitted in writing</w:t>
      </w:r>
      <w:r w:rsidRPr="00CD0492">
        <w:rPr>
          <w:rFonts w:ascii="Arial" w:hAnsi="Arial" w:cs="Arial"/>
          <w:color w:val="002060"/>
          <w:sz w:val="18"/>
          <w:szCs w:val="18"/>
        </w:rPr>
        <w:t xml:space="preserve"> by the </w:t>
      </w:r>
      <w:r w:rsidR="00FB7EBE" w:rsidRPr="00CD0492">
        <w:rPr>
          <w:rFonts w:ascii="Arial" w:hAnsi="Arial" w:cs="Arial"/>
          <w:color w:val="002060"/>
          <w:sz w:val="18"/>
          <w:szCs w:val="18"/>
        </w:rPr>
        <w:t>G</w:t>
      </w:r>
      <w:r w:rsidRPr="00CD0492">
        <w:rPr>
          <w:rFonts w:ascii="Arial" w:hAnsi="Arial" w:cs="Arial"/>
          <w:color w:val="002060"/>
          <w:sz w:val="18"/>
          <w:szCs w:val="18"/>
        </w:rPr>
        <w:t xml:space="preserve">rantee 30 days </w:t>
      </w:r>
      <w:r w:rsidR="00FB7EBE" w:rsidRPr="00CD0492">
        <w:rPr>
          <w:rFonts w:ascii="Arial" w:hAnsi="Arial" w:cs="Arial"/>
          <w:color w:val="002060"/>
          <w:sz w:val="18"/>
          <w:szCs w:val="18"/>
        </w:rPr>
        <w:t>before</w:t>
      </w:r>
      <w:r w:rsidRPr="00CD0492">
        <w:rPr>
          <w:rFonts w:ascii="Arial" w:hAnsi="Arial" w:cs="Arial"/>
          <w:color w:val="002060"/>
          <w:sz w:val="18"/>
          <w:szCs w:val="18"/>
        </w:rPr>
        <w:t xml:space="preserve"> the set closing date provided the following items have been achieved</w:t>
      </w:r>
      <w:r w:rsidR="00FB7EBE" w:rsidRPr="00CD0492">
        <w:rPr>
          <w:rFonts w:ascii="Arial" w:hAnsi="Arial" w:cs="Arial"/>
          <w:color w:val="002060"/>
          <w:sz w:val="18"/>
          <w:szCs w:val="18"/>
        </w:rPr>
        <w:t>:</w:t>
      </w:r>
    </w:p>
    <w:p w14:paraId="7FA7F74A" w14:textId="378C86CA" w:rsidR="004F11EB" w:rsidRPr="00CD0492" w:rsidRDefault="004F11EB" w:rsidP="00F23E3D">
      <w:pPr>
        <w:numPr>
          <w:ilvl w:val="0"/>
          <w:numId w:val="10"/>
        </w:numPr>
        <w:rPr>
          <w:rFonts w:ascii="Arial" w:hAnsi="Arial" w:cs="Arial"/>
          <w:color w:val="002060"/>
          <w:sz w:val="18"/>
          <w:szCs w:val="18"/>
        </w:rPr>
      </w:pPr>
      <w:r w:rsidRPr="00CD0492">
        <w:rPr>
          <w:rFonts w:ascii="Arial" w:hAnsi="Arial" w:cs="Arial"/>
          <w:color w:val="002060"/>
          <w:sz w:val="18"/>
          <w:szCs w:val="18"/>
        </w:rPr>
        <w:t>All closing documents, i.e.</w:t>
      </w:r>
      <w:r w:rsidR="00FB7EBE" w:rsidRPr="00CD0492">
        <w:rPr>
          <w:rFonts w:ascii="Arial" w:hAnsi="Arial" w:cs="Arial"/>
          <w:color w:val="002060"/>
          <w:sz w:val="18"/>
          <w:szCs w:val="18"/>
        </w:rPr>
        <w:t>,</w:t>
      </w:r>
      <w:r w:rsidRPr="00CD0492">
        <w:rPr>
          <w:rFonts w:ascii="Arial" w:hAnsi="Arial" w:cs="Arial"/>
          <w:color w:val="002060"/>
          <w:sz w:val="18"/>
          <w:szCs w:val="18"/>
        </w:rPr>
        <w:t xml:space="preserve"> conservation easement, HUD statement, title commitment, subordination agreement if required, have been reviewed and approved by ADFPTF and NCDA&amp;CS legal</w:t>
      </w:r>
      <w:r w:rsidR="00FB7EBE" w:rsidRPr="00CD0492">
        <w:rPr>
          <w:rFonts w:ascii="Arial" w:hAnsi="Arial" w:cs="Arial"/>
          <w:color w:val="002060"/>
          <w:sz w:val="18"/>
          <w:szCs w:val="18"/>
        </w:rPr>
        <w:t xml:space="preserve"> staff</w:t>
      </w:r>
      <w:r w:rsidRPr="00CD0492">
        <w:rPr>
          <w:rFonts w:ascii="Arial" w:hAnsi="Arial" w:cs="Arial"/>
          <w:color w:val="002060"/>
          <w:sz w:val="18"/>
          <w:szCs w:val="18"/>
        </w:rPr>
        <w:t>.</w:t>
      </w:r>
    </w:p>
    <w:p w14:paraId="69C6BE60" w14:textId="37B518CF" w:rsidR="004F11EB" w:rsidRPr="00CD0492" w:rsidRDefault="004F11EB" w:rsidP="00F23E3D">
      <w:pPr>
        <w:numPr>
          <w:ilvl w:val="0"/>
          <w:numId w:val="10"/>
        </w:numPr>
        <w:rPr>
          <w:rFonts w:ascii="Arial" w:hAnsi="Arial" w:cs="Arial"/>
          <w:color w:val="002060"/>
          <w:sz w:val="18"/>
          <w:szCs w:val="18"/>
        </w:rPr>
      </w:pPr>
      <w:r w:rsidRPr="00CD0492">
        <w:rPr>
          <w:rFonts w:ascii="Arial" w:hAnsi="Arial" w:cs="Arial"/>
          <w:color w:val="002060"/>
          <w:sz w:val="18"/>
          <w:szCs w:val="18"/>
        </w:rPr>
        <w:t>All progress</w:t>
      </w:r>
      <w:r w:rsidR="00FB7EBE" w:rsidRPr="00CD0492">
        <w:rPr>
          <w:rFonts w:ascii="Arial" w:hAnsi="Arial" w:cs="Arial"/>
          <w:color w:val="002060"/>
          <w:sz w:val="18"/>
          <w:szCs w:val="18"/>
        </w:rPr>
        <w:t>/</w:t>
      </w:r>
      <w:r w:rsidRPr="00CD0492">
        <w:rPr>
          <w:rFonts w:ascii="Arial" w:hAnsi="Arial" w:cs="Arial"/>
          <w:color w:val="002060"/>
          <w:sz w:val="18"/>
          <w:szCs w:val="18"/>
        </w:rPr>
        <w:t>budget reports and other administrative reports</w:t>
      </w:r>
      <w:r w:rsidR="00FB7EBE" w:rsidRPr="00CD0492">
        <w:rPr>
          <w:rFonts w:ascii="Arial" w:hAnsi="Arial" w:cs="Arial"/>
          <w:color w:val="002060"/>
          <w:sz w:val="18"/>
          <w:szCs w:val="18"/>
        </w:rPr>
        <w:t>,</w:t>
      </w:r>
      <w:r w:rsidRPr="00CD0492">
        <w:rPr>
          <w:rFonts w:ascii="Arial" w:hAnsi="Arial" w:cs="Arial"/>
          <w:color w:val="002060"/>
          <w:sz w:val="18"/>
          <w:szCs w:val="18"/>
        </w:rPr>
        <w:t xml:space="preserve"> such as monitoring, audit, etc.</w:t>
      </w:r>
      <w:r w:rsidR="00FB7EBE" w:rsidRPr="00CD0492">
        <w:rPr>
          <w:rFonts w:ascii="Arial" w:hAnsi="Arial" w:cs="Arial"/>
          <w:color w:val="002060"/>
          <w:sz w:val="18"/>
          <w:szCs w:val="18"/>
        </w:rPr>
        <w:t>,</w:t>
      </w:r>
      <w:r w:rsidRPr="00CD0492">
        <w:rPr>
          <w:rFonts w:ascii="Arial" w:hAnsi="Arial" w:cs="Arial"/>
          <w:color w:val="002060"/>
          <w:sz w:val="18"/>
          <w:szCs w:val="18"/>
        </w:rPr>
        <w:t xml:space="preserve"> must be current with the ADFPTF.  These reports include all current and previous grants associated with the </w:t>
      </w:r>
      <w:r w:rsidR="00FB7EBE" w:rsidRPr="00CD0492">
        <w:rPr>
          <w:rFonts w:ascii="Arial" w:hAnsi="Arial" w:cs="Arial"/>
          <w:color w:val="002060"/>
          <w:sz w:val="18"/>
          <w:szCs w:val="18"/>
        </w:rPr>
        <w:t>G</w:t>
      </w:r>
      <w:r w:rsidRPr="00CD0492">
        <w:rPr>
          <w:rFonts w:ascii="Arial" w:hAnsi="Arial" w:cs="Arial"/>
          <w:color w:val="002060"/>
          <w:sz w:val="18"/>
          <w:szCs w:val="18"/>
        </w:rPr>
        <w:t>rantee using ADFPTF funding.</w:t>
      </w:r>
    </w:p>
    <w:p w14:paraId="088269AE" w14:textId="1EB25FFA" w:rsidR="004F11EB" w:rsidRPr="00CD0492" w:rsidRDefault="004F11EB" w:rsidP="00F23E3D">
      <w:pPr>
        <w:numPr>
          <w:ilvl w:val="0"/>
          <w:numId w:val="10"/>
        </w:numPr>
        <w:rPr>
          <w:rFonts w:ascii="Arial" w:hAnsi="Arial" w:cs="Arial"/>
          <w:color w:val="002060"/>
          <w:sz w:val="18"/>
          <w:szCs w:val="18"/>
        </w:rPr>
      </w:pPr>
      <w:r w:rsidRPr="00CD0492">
        <w:rPr>
          <w:rFonts w:ascii="Arial" w:hAnsi="Arial" w:cs="Arial"/>
          <w:color w:val="002060"/>
          <w:sz w:val="18"/>
          <w:szCs w:val="18"/>
        </w:rPr>
        <w:t xml:space="preserve">The </w:t>
      </w:r>
      <w:r w:rsidR="00FB7EBE" w:rsidRPr="00CD0492">
        <w:rPr>
          <w:rFonts w:ascii="Arial" w:hAnsi="Arial" w:cs="Arial"/>
          <w:color w:val="002060"/>
          <w:sz w:val="18"/>
          <w:szCs w:val="18"/>
        </w:rPr>
        <w:t>G</w:t>
      </w:r>
      <w:r w:rsidRPr="00CD0492">
        <w:rPr>
          <w:rFonts w:ascii="Arial" w:hAnsi="Arial" w:cs="Arial"/>
          <w:color w:val="002060"/>
          <w:sz w:val="18"/>
          <w:szCs w:val="18"/>
        </w:rPr>
        <w:t xml:space="preserve">rantee has </w:t>
      </w:r>
      <w:r w:rsidR="00FB7EBE" w:rsidRPr="00CD0492">
        <w:rPr>
          <w:rFonts w:ascii="Arial" w:hAnsi="Arial" w:cs="Arial"/>
          <w:color w:val="002060"/>
          <w:sz w:val="18"/>
          <w:szCs w:val="18"/>
        </w:rPr>
        <w:t>followed</w:t>
      </w:r>
      <w:r w:rsidRPr="00CD0492">
        <w:rPr>
          <w:rFonts w:ascii="Arial" w:hAnsi="Arial" w:cs="Arial"/>
          <w:color w:val="002060"/>
          <w:sz w:val="18"/>
          <w:szCs w:val="18"/>
        </w:rPr>
        <w:t xml:space="preserve"> the </w:t>
      </w:r>
      <w:proofErr w:type="gramStart"/>
      <w:r w:rsidRPr="00CD0492">
        <w:rPr>
          <w:rFonts w:ascii="Arial" w:hAnsi="Arial" w:cs="Arial"/>
          <w:color w:val="002060"/>
          <w:sz w:val="18"/>
          <w:szCs w:val="18"/>
        </w:rPr>
        <w:t>contractual</w:t>
      </w:r>
      <w:r w:rsidR="00FB7EBE" w:rsidRPr="00CD0492">
        <w:rPr>
          <w:rFonts w:ascii="Arial" w:hAnsi="Arial" w:cs="Arial"/>
          <w:color w:val="002060"/>
          <w:sz w:val="18"/>
          <w:szCs w:val="18"/>
        </w:rPr>
        <w:t>ly-obligated</w:t>
      </w:r>
      <w:proofErr w:type="gramEnd"/>
      <w:r w:rsidRPr="00CD0492">
        <w:rPr>
          <w:rFonts w:ascii="Arial" w:hAnsi="Arial" w:cs="Arial"/>
          <w:color w:val="002060"/>
          <w:sz w:val="18"/>
          <w:szCs w:val="18"/>
        </w:rPr>
        <w:t xml:space="preserve"> work schedule as </w:t>
      </w:r>
      <w:r w:rsidR="00FB7EBE" w:rsidRPr="00CD0492">
        <w:rPr>
          <w:rFonts w:ascii="Arial" w:hAnsi="Arial" w:cs="Arial"/>
          <w:color w:val="002060"/>
          <w:sz w:val="18"/>
          <w:szCs w:val="18"/>
        </w:rPr>
        <w:t>detailed</w:t>
      </w:r>
      <w:r w:rsidRPr="00CD0492">
        <w:rPr>
          <w:rFonts w:ascii="Arial" w:hAnsi="Arial" w:cs="Arial"/>
          <w:color w:val="002060"/>
          <w:sz w:val="18"/>
          <w:szCs w:val="18"/>
        </w:rPr>
        <w:t xml:space="preserve"> in the grant contract. If </w:t>
      </w:r>
      <w:r w:rsidR="00FB7EBE" w:rsidRPr="00CD0492">
        <w:rPr>
          <w:rFonts w:ascii="Arial" w:hAnsi="Arial" w:cs="Arial"/>
          <w:color w:val="002060"/>
          <w:sz w:val="18"/>
          <w:szCs w:val="18"/>
        </w:rPr>
        <w:t>G</w:t>
      </w:r>
      <w:r w:rsidRPr="00CD0492">
        <w:rPr>
          <w:rFonts w:ascii="Arial" w:hAnsi="Arial" w:cs="Arial"/>
          <w:color w:val="002060"/>
          <w:sz w:val="18"/>
          <w:szCs w:val="18"/>
        </w:rPr>
        <w:t xml:space="preserve">rantee fails to maintain contractual agreement between NCDA&amp;CS and the </w:t>
      </w:r>
      <w:r w:rsidR="00FB7EBE" w:rsidRPr="00CD0492">
        <w:rPr>
          <w:rFonts w:ascii="Arial" w:hAnsi="Arial" w:cs="Arial"/>
          <w:color w:val="002060"/>
          <w:sz w:val="18"/>
          <w:szCs w:val="18"/>
        </w:rPr>
        <w:t>G</w:t>
      </w:r>
      <w:r w:rsidRPr="00CD0492">
        <w:rPr>
          <w:rFonts w:ascii="Arial" w:hAnsi="Arial" w:cs="Arial"/>
          <w:color w:val="002060"/>
          <w:sz w:val="18"/>
          <w:szCs w:val="18"/>
        </w:rPr>
        <w:t xml:space="preserve">rantee, NCDA&amp;CS ADFPTF shall </w:t>
      </w:r>
      <w:r w:rsidR="00FB7EBE" w:rsidRPr="00CD0492">
        <w:rPr>
          <w:rFonts w:ascii="Arial" w:hAnsi="Arial" w:cs="Arial"/>
          <w:color w:val="002060"/>
          <w:sz w:val="18"/>
          <w:szCs w:val="18"/>
        </w:rPr>
        <w:t>consider</w:t>
      </w:r>
      <w:r w:rsidRPr="00CD0492">
        <w:rPr>
          <w:rFonts w:ascii="Arial" w:hAnsi="Arial" w:cs="Arial"/>
          <w:color w:val="002060"/>
          <w:sz w:val="18"/>
          <w:szCs w:val="18"/>
        </w:rPr>
        <w:t xml:space="preserve"> additional measures </w:t>
      </w:r>
      <w:r w:rsidR="00FB7EBE" w:rsidRPr="00CD0492">
        <w:rPr>
          <w:rFonts w:ascii="Arial" w:hAnsi="Arial" w:cs="Arial"/>
          <w:color w:val="002060"/>
          <w:sz w:val="18"/>
          <w:szCs w:val="18"/>
        </w:rPr>
        <w:t xml:space="preserve">to ensure Grantee follows department policies and contract procedures. </w:t>
      </w:r>
    </w:p>
    <w:p w14:paraId="0E1CF4E8" w14:textId="72CBF375" w:rsidR="004F11EB" w:rsidRPr="00CD0492" w:rsidRDefault="00FB7EBE" w:rsidP="00F23E3D">
      <w:pPr>
        <w:numPr>
          <w:ilvl w:val="0"/>
          <w:numId w:val="10"/>
        </w:numPr>
        <w:rPr>
          <w:rFonts w:ascii="Arial" w:hAnsi="Arial" w:cs="Arial"/>
          <w:color w:val="002060"/>
          <w:sz w:val="18"/>
          <w:szCs w:val="18"/>
        </w:rPr>
      </w:pPr>
      <w:r w:rsidRPr="00CD0492">
        <w:rPr>
          <w:rFonts w:ascii="Arial" w:hAnsi="Arial" w:cs="Arial"/>
          <w:color w:val="002060"/>
          <w:sz w:val="18"/>
          <w:szCs w:val="18"/>
        </w:rPr>
        <w:t>The proposed conservation easement closing date shall be no less than 30 days before the contract end date. This timeline is set</w:t>
      </w:r>
      <w:r w:rsidR="004F11EB" w:rsidRPr="00CD0492">
        <w:rPr>
          <w:rFonts w:ascii="Arial" w:hAnsi="Arial" w:cs="Arial"/>
          <w:color w:val="002060"/>
          <w:sz w:val="18"/>
          <w:szCs w:val="18"/>
        </w:rPr>
        <w:t xml:space="preserve"> to </w:t>
      </w:r>
      <w:r w:rsidRPr="00CD0492">
        <w:rPr>
          <w:rFonts w:ascii="Arial" w:hAnsi="Arial" w:cs="Arial"/>
          <w:color w:val="002060"/>
          <w:sz w:val="18"/>
          <w:szCs w:val="18"/>
        </w:rPr>
        <w:t>eliminate</w:t>
      </w:r>
      <w:r w:rsidR="004F11EB" w:rsidRPr="00CD0492">
        <w:rPr>
          <w:rFonts w:ascii="Arial" w:hAnsi="Arial" w:cs="Arial"/>
          <w:color w:val="002060"/>
          <w:sz w:val="18"/>
          <w:szCs w:val="18"/>
        </w:rPr>
        <w:t xml:space="preserve"> </w:t>
      </w:r>
      <w:r w:rsidRPr="00CD0492">
        <w:rPr>
          <w:rFonts w:ascii="Arial" w:hAnsi="Arial" w:cs="Arial"/>
          <w:color w:val="002060"/>
          <w:sz w:val="18"/>
          <w:szCs w:val="18"/>
        </w:rPr>
        <w:t xml:space="preserve">the </w:t>
      </w:r>
      <w:r w:rsidR="004F11EB" w:rsidRPr="00CD0492">
        <w:rPr>
          <w:rFonts w:ascii="Arial" w:hAnsi="Arial" w:cs="Arial"/>
          <w:color w:val="002060"/>
          <w:sz w:val="18"/>
          <w:szCs w:val="18"/>
        </w:rPr>
        <w:t xml:space="preserve">risk </w:t>
      </w:r>
      <w:r w:rsidRPr="00CD0492">
        <w:rPr>
          <w:rFonts w:ascii="Arial" w:hAnsi="Arial" w:cs="Arial"/>
          <w:color w:val="002060"/>
          <w:sz w:val="18"/>
          <w:szCs w:val="18"/>
        </w:rPr>
        <w:t xml:space="preserve">of losing grant funds due to the contract's expiration. </w:t>
      </w:r>
    </w:p>
    <w:p w14:paraId="07EC20B5" w14:textId="54038EA8" w:rsidR="004F11EB" w:rsidRPr="00CD0492" w:rsidRDefault="00FB7EBE" w:rsidP="00F23E3D">
      <w:pPr>
        <w:numPr>
          <w:ilvl w:val="0"/>
          <w:numId w:val="10"/>
        </w:numPr>
        <w:rPr>
          <w:rFonts w:ascii="Arial" w:hAnsi="Arial" w:cs="Arial"/>
          <w:color w:val="002060"/>
          <w:sz w:val="18"/>
          <w:szCs w:val="18"/>
        </w:rPr>
      </w:pPr>
      <w:r w:rsidRPr="00CD0492">
        <w:rPr>
          <w:rFonts w:ascii="Arial" w:hAnsi="Arial" w:cs="Arial"/>
          <w:color w:val="002060"/>
          <w:sz w:val="18"/>
          <w:szCs w:val="18"/>
        </w:rPr>
        <w:t>All parties, including ADFPTF, Grantee, landowners, and all funding partners with a financial interest in the conservation easement, will confirm the closing date</w:t>
      </w:r>
      <w:r w:rsidR="004F11EB" w:rsidRPr="00CD0492">
        <w:rPr>
          <w:rFonts w:ascii="Arial" w:hAnsi="Arial" w:cs="Arial"/>
          <w:color w:val="002060"/>
          <w:sz w:val="18"/>
          <w:szCs w:val="18"/>
        </w:rPr>
        <w:t>.</w:t>
      </w:r>
    </w:p>
    <w:p w14:paraId="08AF6A9E" w14:textId="6A46318E" w:rsidR="004F11EB" w:rsidRPr="00CD0492" w:rsidRDefault="00FB7EBE" w:rsidP="00F23E3D">
      <w:pPr>
        <w:numPr>
          <w:ilvl w:val="0"/>
          <w:numId w:val="10"/>
        </w:numPr>
        <w:rPr>
          <w:rFonts w:ascii="Arial" w:hAnsi="Arial" w:cs="Arial"/>
          <w:color w:val="002060"/>
          <w:sz w:val="18"/>
          <w:szCs w:val="18"/>
        </w:rPr>
      </w:pPr>
      <w:r w:rsidRPr="00CD0492">
        <w:rPr>
          <w:rFonts w:ascii="Arial" w:hAnsi="Arial" w:cs="Arial"/>
          <w:color w:val="002060"/>
          <w:sz w:val="18"/>
          <w:szCs w:val="18"/>
        </w:rPr>
        <w:t>An e</w:t>
      </w:r>
      <w:r w:rsidR="004F11EB" w:rsidRPr="00CD0492">
        <w:rPr>
          <w:rFonts w:ascii="Arial" w:hAnsi="Arial" w:cs="Arial"/>
          <w:color w:val="002060"/>
          <w:sz w:val="18"/>
          <w:szCs w:val="18"/>
        </w:rPr>
        <w:t xml:space="preserve">lectronic check may be submitted to </w:t>
      </w:r>
      <w:r w:rsidRPr="00CD0492">
        <w:rPr>
          <w:rFonts w:ascii="Arial" w:hAnsi="Arial" w:cs="Arial"/>
          <w:color w:val="002060"/>
          <w:sz w:val="18"/>
          <w:szCs w:val="18"/>
        </w:rPr>
        <w:t xml:space="preserve">the </w:t>
      </w:r>
      <w:r w:rsidR="004F11EB" w:rsidRPr="00CD0492">
        <w:rPr>
          <w:rFonts w:ascii="Arial" w:hAnsi="Arial" w:cs="Arial"/>
          <w:color w:val="002060"/>
          <w:sz w:val="18"/>
          <w:szCs w:val="18"/>
        </w:rPr>
        <w:t xml:space="preserve">closing attorney </w:t>
      </w:r>
      <w:r w:rsidRPr="00CD0492">
        <w:rPr>
          <w:rFonts w:ascii="Arial" w:hAnsi="Arial" w:cs="Arial"/>
          <w:color w:val="002060"/>
          <w:sz w:val="18"/>
          <w:szCs w:val="18"/>
        </w:rPr>
        <w:t xml:space="preserve">named in the grant contract, </w:t>
      </w:r>
      <w:r w:rsidR="004F11EB" w:rsidRPr="00CD0492">
        <w:rPr>
          <w:rFonts w:ascii="Arial" w:hAnsi="Arial" w:cs="Arial"/>
          <w:color w:val="002060"/>
          <w:sz w:val="18"/>
          <w:szCs w:val="18"/>
        </w:rPr>
        <w:t xml:space="preserve">provided all required information provided by the </w:t>
      </w:r>
      <w:r w:rsidRPr="00CD0492">
        <w:rPr>
          <w:rFonts w:ascii="Arial" w:hAnsi="Arial" w:cs="Arial"/>
          <w:color w:val="002060"/>
          <w:sz w:val="18"/>
          <w:szCs w:val="18"/>
        </w:rPr>
        <w:t>G</w:t>
      </w:r>
      <w:r w:rsidR="004F11EB" w:rsidRPr="00CD0492">
        <w:rPr>
          <w:rFonts w:ascii="Arial" w:hAnsi="Arial" w:cs="Arial"/>
          <w:color w:val="002060"/>
          <w:sz w:val="18"/>
          <w:szCs w:val="18"/>
        </w:rPr>
        <w:t>rantee</w:t>
      </w:r>
      <w:r w:rsidRPr="00CD0492">
        <w:rPr>
          <w:rFonts w:ascii="Arial" w:hAnsi="Arial" w:cs="Arial"/>
          <w:color w:val="002060"/>
          <w:sz w:val="18"/>
          <w:szCs w:val="18"/>
        </w:rPr>
        <w:t xml:space="preserve"> is approved by ADFPTF and NCDA&amp;CS legal staff.</w:t>
      </w:r>
    </w:p>
    <w:p w14:paraId="4C99DEFA" w14:textId="37881B6B" w:rsidR="004F11EB" w:rsidRPr="00CD0492" w:rsidRDefault="004F11EB" w:rsidP="00F23E3D">
      <w:pPr>
        <w:numPr>
          <w:ilvl w:val="0"/>
          <w:numId w:val="10"/>
        </w:numPr>
        <w:rPr>
          <w:rFonts w:ascii="Arial" w:hAnsi="Arial" w:cs="Arial"/>
          <w:color w:val="002060"/>
          <w:sz w:val="18"/>
          <w:szCs w:val="18"/>
        </w:rPr>
      </w:pPr>
      <w:r w:rsidRPr="00CD0492">
        <w:rPr>
          <w:rFonts w:ascii="Arial" w:hAnsi="Arial" w:cs="Arial"/>
          <w:color w:val="002060"/>
          <w:sz w:val="18"/>
          <w:szCs w:val="18"/>
        </w:rPr>
        <w:t xml:space="preserve">If a contract is determined to be </w:t>
      </w:r>
      <w:r w:rsidR="00FB7EBE" w:rsidRPr="00CD0492">
        <w:rPr>
          <w:rFonts w:ascii="Arial" w:hAnsi="Arial" w:cs="Arial"/>
          <w:color w:val="002060"/>
          <w:sz w:val="18"/>
          <w:szCs w:val="18"/>
        </w:rPr>
        <w:t>at</w:t>
      </w:r>
      <w:r w:rsidRPr="00CD0492">
        <w:rPr>
          <w:rFonts w:ascii="Arial" w:hAnsi="Arial" w:cs="Arial"/>
          <w:color w:val="002060"/>
          <w:sz w:val="18"/>
          <w:szCs w:val="18"/>
        </w:rPr>
        <w:t xml:space="preserve"> risk </w:t>
      </w:r>
      <w:r w:rsidR="00FB7EBE" w:rsidRPr="00CD0492">
        <w:rPr>
          <w:rFonts w:ascii="Arial" w:hAnsi="Arial" w:cs="Arial"/>
          <w:color w:val="002060"/>
          <w:sz w:val="18"/>
          <w:szCs w:val="18"/>
        </w:rPr>
        <w:t>of</w:t>
      </w:r>
      <w:r w:rsidRPr="00CD0492">
        <w:rPr>
          <w:rFonts w:ascii="Arial" w:hAnsi="Arial" w:cs="Arial"/>
          <w:color w:val="002060"/>
          <w:sz w:val="18"/>
          <w:szCs w:val="18"/>
        </w:rPr>
        <w:t xml:space="preserve"> not being completed, NCDA&amp;CS may </w:t>
      </w:r>
      <w:r w:rsidR="00FB7EBE" w:rsidRPr="00CD0492">
        <w:rPr>
          <w:rFonts w:ascii="Arial" w:hAnsi="Arial" w:cs="Arial"/>
          <w:color w:val="002060"/>
          <w:sz w:val="18"/>
          <w:szCs w:val="18"/>
        </w:rPr>
        <w:t>provide</w:t>
      </w:r>
      <w:r w:rsidRPr="00CD0492">
        <w:rPr>
          <w:rFonts w:ascii="Arial" w:hAnsi="Arial" w:cs="Arial"/>
          <w:color w:val="002060"/>
          <w:sz w:val="18"/>
          <w:szCs w:val="18"/>
        </w:rPr>
        <w:t xml:space="preserve"> alternatives to reduce</w:t>
      </w:r>
      <w:r w:rsidR="00FB7EBE" w:rsidRPr="00CD0492">
        <w:rPr>
          <w:rFonts w:ascii="Arial" w:hAnsi="Arial" w:cs="Arial"/>
          <w:color w:val="002060"/>
          <w:sz w:val="18"/>
          <w:szCs w:val="18"/>
        </w:rPr>
        <w:t xml:space="preserve"> that</w:t>
      </w:r>
      <w:r w:rsidRPr="00CD0492">
        <w:rPr>
          <w:rFonts w:ascii="Arial" w:hAnsi="Arial" w:cs="Arial"/>
          <w:color w:val="002060"/>
          <w:sz w:val="18"/>
          <w:szCs w:val="18"/>
        </w:rPr>
        <w:t xml:space="preserve"> risk</w:t>
      </w:r>
      <w:r w:rsidR="00FB7EBE" w:rsidRPr="00CD0492">
        <w:rPr>
          <w:rFonts w:ascii="Arial" w:hAnsi="Arial" w:cs="Arial"/>
          <w:color w:val="002060"/>
          <w:sz w:val="18"/>
          <w:szCs w:val="18"/>
        </w:rPr>
        <w:t>,</w:t>
      </w:r>
      <w:r w:rsidRPr="00CD0492">
        <w:rPr>
          <w:rFonts w:ascii="Arial" w:hAnsi="Arial" w:cs="Arial"/>
          <w:color w:val="002060"/>
          <w:sz w:val="18"/>
          <w:szCs w:val="18"/>
        </w:rPr>
        <w:t xml:space="preserve"> including revisions of</w:t>
      </w:r>
      <w:r w:rsidR="00FB7EBE" w:rsidRPr="00CD0492">
        <w:rPr>
          <w:rFonts w:ascii="Arial" w:hAnsi="Arial" w:cs="Arial"/>
          <w:color w:val="002060"/>
          <w:sz w:val="18"/>
          <w:szCs w:val="18"/>
        </w:rPr>
        <w:t xml:space="preserve"> the</w:t>
      </w:r>
      <w:r w:rsidRPr="00CD0492">
        <w:rPr>
          <w:rFonts w:ascii="Arial" w:hAnsi="Arial" w:cs="Arial"/>
          <w:color w:val="002060"/>
          <w:sz w:val="18"/>
          <w:szCs w:val="18"/>
        </w:rPr>
        <w:t xml:space="preserve"> holdback</w:t>
      </w:r>
      <w:r w:rsidR="00FB7EBE" w:rsidRPr="00CD0492">
        <w:rPr>
          <w:rFonts w:ascii="Arial" w:hAnsi="Arial" w:cs="Arial"/>
          <w:color w:val="002060"/>
          <w:sz w:val="18"/>
          <w:szCs w:val="18"/>
        </w:rPr>
        <w:t xml:space="preserve"> provisions or</w:t>
      </w:r>
      <w:r w:rsidRPr="00CD0492">
        <w:rPr>
          <w:rFonts w:ascii="Arial" w:hAnsi="Arial" w:cs="Arial"/>
          <w:color w:val="002060"/>
          <w:sz w:val="18"/>
          <w:szCs w:val="18"/>
        </w:rPr>
        <w:t xml:space="preserve"> the </w:t>
      </w:r>
      <w:r w:rsidR="00FB7EBE" w:rsidRPr="00CD0492">
        <w:rPr>
          <w:rFonts w:ascii="Arial" w:hAnsi="Arial" w:cs="Arial"/>
          <w:color w:val="002060"/>
          <w:sz w:val="18"/>
          <w:szCs w:val="18"/>
        </w:rPr>
        <w:t xml:space="preserve">payment </w:t>
      </w:r>
      <w:r w:rsidRPr="00CD0492">
        <w:rPr>
          <w:rFonts w:ascii="Arial" w:hAnsi="Arial" w:cs="Arial"/>
          <w:color w:val="002060"/>
          <w:sz w:val="18"/>
          <w:szCs w:val="18"/>
        </w:rPr>
        <w:t>delivery options for services rendered by contractual arrangement.</w:t>
      </w:r>
      <w:r w:rsidR="00762007" w:rsidRPr="00CD0492">
        <w:rPr>
          <w:rFonts w:ascii="Arial" w:hAnsi="Arial" w:cs="Arial"/>
          <w:color w:val="002060"/>
          <w:sz w:val="18"/>
          <w:szCs w:val="18"/>
        </w:rPr>
        <w:t xml:space="preserve">  </w:t>
      </w:r>
      <w:r w:rsidR="00762007" w:rsidRPr="00CD0492">
        <w:rPr>
          <w:rFonts w:ascii="Arial" w:hAnsi="Arial" w:cs="Arial"/>
          <w:color w:val="002060"/>
          <w:sz w:val="20"/>
          <w:szCs w:val="20"/>
        </w:rPr>
        <w:t>(</w:t>
      </w:r>
      <w:r w:rsidR="00762007" w:rsidRPr="00CD0492">
        <w:rPr>
          <w:rFonts w:ascii="Arial" w:hAnsi="Arial" w:cs="Arial"/>
          <w:i/>
          <w:iCs/>
          <w:color w:val="002060"/>
          <w:sz w:val="20"/>
          <w:szCs w:val="20"/>
        </w:rPr>
        <w:t>Approved 2-18-2021)</w:t>
      </w:r>
    </w:p>
    <w:p w14:paraId="047000D4" w14:textId="77777777" w:rsidR="00560B50" w:rsidRPr="00CD0492" w:rsidRDefault="00560B50" w:rsidP="00560B50">
      <w:pPr>
        <w:rPr>
          <w:rFonts w:ascii="Arial" w:hAnsi="Arial" w:cs="Arial"/>
          <w:color w:val="002060"/>
          <w:sz w:val="18"/>
          <w:szCs w:val="18"/>
        </w:rPr>
      </w:pPr>
    </w:p>
    <w:p w14:paraId="5FF2B77A" w14:textId="6B6A7615" w:rsidR="00560B50" w:rsidRDefault="00560B50" w:rsidP="00560B50">
      <w:pPr>
        <w:rPr>
          <w:rFonts w:ascii="Arial" w:hAnsi="Arial" w:cs="Arial"/>
          <w:i/>
          <w:iCs/>
          <w:color w:val="002060"/>
          <w:sz w:val="20"/>
          <w:szCs w:val="20"/>
        </w:rPr>
      </w:pPr>
      <w:r w:rsidRPr="00CD0492">
        <w:rPr>
          <w:rFonts w:ascii="Arial" w:hAnsi="Arial" w:cs="Arial"/>
          <w:b/>
          <w:color w:val="002060"/>
          <w:sz w:val="18"/>
          <w:szCs w:val="18"/>
        </w:rPr>
        <w:t>Emergency Grant Contract Extension Requests:</w:t>
      </w:r>
      <w:r w:rsidRPr="00CD0492">
        <w:rPr>
          <w:rFonts w:ascii="Arial" w:hAnsi="Arial" w:cs="Arial"/>
          <w:color w:val="002060"/>
          <w:sz w:val="18"/>
          <w:szCs w:val="18"/>
        </w:rPr>
        <w:t xml:space="preserve"> If the </w:t>
      </w:r>
      <w:r w:rsidR="009166E2" w:rsidRPr="00CD0492">
        <w:rPr>
          <w:rFonts w:ascii="Arial" w:hAnsi="Arial" w:cs="Arial"/>
          <w:color w:val="002060"/>
          <w:sz w:val="18"/>
          <w:szCs w:val="18"/>
        </w:rPr>
        <w:t>G</w:t>
      </w:r>
      <w:r w:rsidRPr="00CD0492">
        <w:rPr>
          <w:rFonts w:ascii="Arial" w:hAnsi="Arial" w:cs="Arial"/>
          <w:color w:val="002060"/>
          <w:sz w:val="18"/>
          <w:szCs w:val="18"/>
        </w:rPr>
        <w:t xml:space="preserve">rantee has not provided all closing documents and progress/budget reports 30 days </w:t>
      </w:r>
      <w:r w:rsidR="00CD6FB5" w:rsidRPr="00CD0492">
        <w:rPr>
          <w:rFonts w:ascii="Arial" w:hAnsi="Arial" w:cs="Arial"/>
          <w:color w:val="002060"/>
          <w:sz w:val="18"/>
          <w:szCs w:val="18"/>
        </w:rPr>
        <w:t>before</w:t>
      </w:r>
      <w:r w:rsidRPr="00CD0492">
        <w:rPr>
          <w:rFonts w:ascii="Arial" w:hAnsi="Arial" w:cs="Arial"/>
          <w:color w:val="002060"/>
          <w:sz w:val="18"/>
          <w:szCs w:val="18"/>
        </w:rPr>
        <w:t xml:space="preserve"> the </w:t>
      </w:r>
      <w:r w:rsidR="00A64E12" w:rsidRPr="00CD0492">
        <w:rPr>
          <w:rFonts w:ascii="Arial" w:hAnsi="Arial" w:cs="Arial"/>
          <w:color w:val="002060"/>
          <w:sz w:val="18"/>
          <w:szCs w:val="18"/>
        </w:rPr>
        <w:t>contract's end date</w:t>
      </w:r>
      <w:r w:rsidRPr="00CD0492">
        <w:rPr>
          <w:rFonts w:ascii="Arial" w:hAnsi="Arial" w:cs="Arial"/>
          <w:color w:val="002060"/>
          <w:sz w:val="18"/>
          <w:szCs w:val="18"/>
        </w:rPr>
        <w:t xml:space="preserve">, the </w:t>
      </w:r>
      <w:r w:rsidR="009166E2" w:rsidRPr="00CD0492">
        <w:rPr>
          <w:rFonts w:ascii="Arial" w:hAnsi="Arial" w:cs="Arial"/>
          <w:color w:val="002060"/>
          <w:sz w:val="18"/>
          <w:szCs w:val="18"/>
        </w:rPr>
        <w:t>G</w:t>
      </w:r>
      <w:r w:rsidRPr="00CD0492">
        <w:rPr>
          <w:rFonts w:ascii="Arial" w:hAnsi="Arial" w:cs="Arial"/>
          <w:color w:val="002060"/>
          <w:sz w:val="18"/>
          <w:szCs w:val="18"/>
        </w:rPr>
        <w:t>rantee may request an emergency contract extension of the grant to the Commissioner of Agriculture</w:t>
      </w:r>
      <w:r w:rsidR="00A64E12" w:rsidRPr="00CD0492">
        <w:rPr>
          <w:rFonts w:ascii="Arial" w:hAnsi="Arial" w:cs="Arial"/>
          <w:color w:val="002060"/>
          <w:sz w:val="18"/>
          <w:szCs w:val="18"/>
        </w:rPr>
        <w:t>. This request must include</w:t>
      </w:r>
      <w:r w:rsidRPr="00CD0492">
        <w:rPr>
          <w:rFonts w:ascii="Arial" w:hAnsi="Arial" w:cs="Arial"/>
          <w:color w:val="002060"/>
          <w:sz w:val="18"/>
          <w:szCs w:val="18"/>
        </w:rPr>
        <w:t xml:space="preserve"> reasons for not completing the grant and </w:t>
      </w:r>
      <w:r w:rsidR="00A64E12" w:rsidRPr="00CD0492">
        <w:rPr>
          <w:rFonts w:ascii="Arial" w:hAnsi="Arial" w:cs="Arial"/>
          <w:color w:val="002060"/>
          <w:sz w:val="18"/>
          <w:szCs w:val="18"/>
        </w:rPr>
        <w:t xml:space="preserve">following the </w:t>
      </w:r>
      <w:r w:rsidRPr="00CD0492">
        <w:rPr>
          <w:rFonts w:ascii="Arial" w:hAnsi="Arial" w:cs="Arial"/>
          <w:color w:val="002060"/>
          <w:sz w:val="18"/>
          <w:szCs w:val="18"/>
        </w:rPr>
        <w:t xml:space="preserve">timetable of </w:t>
      </w:r>
      <w:r w:rsidR="00CD6FB5" w:rsidRPr="00CD0492">
        <w:rPr>
          <w:rFonts w:ascii="Arial" w:hAnsi="Arial" w:cs="Arial"/>
          <w:color w:val="002060"/>
          <w:sz w:val="18"/>
          <w:szCs w:val="18"/>
        </w:rPr>
        <w:t>schedul</w:t>
      </w:r>
      <w:r w:rsidRPr="00CD0492">
        <w:rPr>
          <w:rFonts w:ascii="Arial" w:hAnsi="Arial" w:cs="Arial"/>
          <w:color w:val="002060"/>
          <w:sz w:val="18"/>
          <w:szCs w:val="18"/>
        </w:rPr>
        <w:t>ed activities to complete the grant project. All other grant contract extension requests shall follow the protocols outlined in the NCDA&amp;CS ADFPTF grant contract.</w:t>
      </w:r>
      <w:r w:rsidR="00762007" w:rsidRPr="00CD0492">
        <w:rPr>
          <w:rFonts w:ascii="Arial" w:hAnsi="Arial" w:cs="Arial"/>
          <w:color w:val="002060"/>
          <w:sz w:val="18"/>
          <w:szCs w:val="18"/>
        </w:rPr>
        <w:t xml:space="preserve">  </w:t>
      </w:r>
      <w:r w:rsidR="00762007" w:rsidRPr="00CD0492">
        <w:rPr>
          <w:rFonts w:ascii="Arial" w:hAnsi="Arial" w:cs="Arial"/>
          <w:color w:val="002060"/>
          <w:sz w:val="20"/>
          <w:szCs w:val="20"/>
        </w:rPr>
        <w:t>(</w:t>
      </w:r>
      <w:r w:rsidR="00762007" w:rsidRPr="00CD0492">
        <w:rPr>
          <w:rFonts w:ascii="Arial" w:hAnsi="Arial" w:cs="Arial"/>
          <w:i/>
          <w:iCs/>
          <w:color w:val="002060"/>
          <w:sz w:val="20"/>
          <w:szCs w:val="20"/>
        </w:rPr>
        <w:t xml:space="preserve">Approved 2-18-2021)  </w:t>
      </w:r>
    </w:p>
    <w:p w14:paraId="280BFFE4" w14:textId="77777777" w:rsidR="002E68A4" w:rsidRDefault="002E68A4" w:rsidP="00560B50">
      <w:pPr>
        <w:rPr>
          <w:rFonts w:ascii="Arial" w:hAnsi="Arial" w:cs="Arial"/>
          <w:i/>
          <w:iCs/>
          <w:color w:val="002060"/>
          <w:sz w:val="20"/>
          <w:szCs w:val="20"/>
        </w:rPr>
      </w:pPr>
    </w:p>
    <w:p w14:paraId="00F49A27" w14:textId="0E3BDCD9" w:rsidR="002E68A4" w:rsidRPr="00CD0492" w:rsidRDefault="00E460B2" w:rsidP="00560B50">
      <w:pPr>
        <w:rPr>
          <w:rFonts w:ascii="Arial" w:hAnsi="Arial" w:cs="Arial"/>
          <w:color w:val="002060"/>
          <w:sz w:val="18"/>
          <w:szCs w:val="18"/>
        </w:rPr>
      </w:pPr>
      <w:r w:rsidRPr="00E460B2">
        <w:rPr>
          <w:rFonts w:ascii="Arial" w:hAnsi="Arial" w:cs="Arial"/>
          <w:b/>
          <w:color w:val="002060"/>
          <w:sz w:val="18"/>
          <w:szCs w:val="18"/>
        </w:rPr>
        <w:t>Emergency Supplemental Grant Funds Requests for Conservation Easement Projects:</w:t>
      </w:r>
      <w:r w:rsidR="002E68A4" w:rsidRPr="00CD0492">
        <w:rPr>
          <w:rFonts w:ascii="Arial" w:hAnsi="Arial" w:cs="Arial"/>
          <w:color w:val="002060"/>
          <w:sz w:val="18"/>
          <w:szCs w:val="18"/>
        </w:rPr>
        <w:t xml:space="preserve"> </w:t>
      </w:r>
      <w:r w:rsidR="00E23D75" w:rsidRPr="00E23D75">
        <w:rPr>
          <w:rFonts w:ascii="Arial" w:hAnsi="Arial" w:cs="Arial"/>
          <w:color w:val="002060"/>
          <w:sz w:val="18"/>
          <w:szCs w:val="18"/>
        </w:rPr>
        <w:t xml:space="preserve">During the open contract period, unanticipated costs may be required to complete conservation easement projects. The Grantee must maximize allowable Budget Revision Requests before submitting an Emergency Supplemental Grant Funds Request. If there are required costs to complete the conservation easement project with no available funds in the grant contract, the Grantee may request a one-time Emergency Supplemental Grant Funds Request on a conservation easement project for allowable expenses beyond the maximum line item in the grant contract. Emergency Supplemental Grant Funds Requests may be used for Attorney Fees, Baseline Documentation Report, Closing Costs (Recording Fee, Title Insurance), </w:t>
      </w:r>
      <w:r w:rsidR="00E23D75" w:rsidRPr="00E23D75">
        <w:rPr>
          <w:rFonts w:ascii="Arial" w:hAnsi="Arial" w:cs="Arial"/>
          <w:color w:val="002060"/>
          <w:sz w:val="18"/>
          <w:szCs w:val="18"/>
        </w:rPr>
        <w:lastRenderedPageBreak/>
        <w:t xml:space="preserve">Environmental Assessment/Audit, or Survey. The Emergency Supplemental Grant Funds Request must be submitted in writing to the Commissioner of Agriculture or designee, and must include justification for the request, documentation of the unanticipated costs, and documentation of the exhaustion of alternative funding sources. Failure by the Grantee to initiate deliverables on the conservation easement project, Grantee staff shortages or changes, Grantee time management issues, Grantee or contractor failure to follow project deliverable requirements, and Grantee or contractor fraud or waste are not acceptable justifications for the Emergency Supplemental Grant Funds Request. The Grantee must have current grant reporting documents before submitting the request. The maximum Emergency Supplemental Grant Funds Request is $15,000. Emergency Supplemental Grant Funds Requests for Conservation Easement Projects are </w:t>
      </w:r>
      <w:r w:rsidR="00741068">
        <w:rPr>
          <w:rFonts w:ascii="Arial" w:hAnsi="Arial" w:cs="Arial"/>
          <w:color w:val="002060"/>
          <w:sz w:val="18"/>
          <w:szCs w:val="18"/>
        </w:rPr>
        <w:t>subject</w:t>
      </w:r>
      <w:r w:rsidR="00E23D75" w:rsidRPr="00E23D75">
        <w:rPr>
          <w:rFonts w:ascii="Arial" w:hAnsi="Arial" w:cs="Arial"/>
          <w:color w:val="002060"/>
          <w:sz w:val="18"/>
          <w:szCs w:val="18"/>
        </w:rPr>
        <w:t xml:space="preserve"> to funds availability.</w:t>
      </w:r>
      <w:r w:rsidR="002E68A4" w:rsidRPr="00CD0492">
        <w:rPr>
          <w:rFonts w:ascii="Arial" w:hAnsi="Arial" w:cs="Arial"/>
          <w:color w:val="002060"/>
          <w:sz w:val="18"/>
          <w:szCs w:val="18"/>
        </w:rPr>
        <w:t xml:space="preserve">  </w:t>
      </w:r>
      <w:r w:rsidR="002E68A4" w:rsidRPr="00CD0492">
        <w:rPr>
          <w:rFonts w:ascii="Arial" w:hAnsi="Arial" w:cs="Arial"/>
          <w:color w:val="002060"/>
          <w:sz w:val="20"/>
          <w:szCs w:val="20"/>
        </w:rPr>
        <w:t>(</w:t>
      </w:r>
      <w:r w:rsidR="002E68A4" w:rsidRPr="00CD0492">
        <w:rPr>
          <w:rFonts w:ascii="Arial" w:hAnsi="Arial" w:cs="Arial"/>
          <w:i/>
          <w:iCs/>
          <w:color w:val="002060"/>
          <w:sz w:val="20"/>
          <w:szCs w:val="20"/>
        </w:rPr>
        <w:t xml:space="preserve">Approved </w:t>
      </w:r>
      <w:r w:rsidR="00E23D75">
        <w:rPr>
          <w:rFonts w:ascii="Arial" w:hAnsi="Arial" w:cs="Arial"/>
          <w:i/>
          <w:iCs/>
          <w:color w:val="002060"/>
          <w:sz w:val="20"/>
          <w:szCs w:val="20"/>
        </w:rPr>
        <w:t>8</w:t>
      </w:r>
      <w:r w:rsidR="002E68A4" w:rsidRPr="00CD0492">
        <w:rPr>
          <w:rFonts w:ascii="Arial" w:hAnsi="Arial" w:cs="Arial"/>
          <w:i/>
          <w:iCs/>
          <w:color w:val="002060"/>
          <w:sz w:val="20"/>
          <w:szCs w:val="20"/>
        </w:rPr>
        <w:t>-</w:t>
      </w:r>
      <w:r w:rsidR="00E23D75">
        <w:rPr>
          <w:rFonts w:ascii="Arial" w:hAnsi="Arial" w:cs="Arial"/>
          <w:i/>
          <w:iCs/>
          <w:color w:val="002060"/>
          <w:sz w:val="20"/>
          <w:szCs w:val="20"/>
        </w:rPr>
        <w:t>23</w:t>
      </w:r>
      <w:r w:rsidR="002E68A4" w:rsidRPr="00CD0492">
        <w:rPr>
          <w:rFonts w:ascii="Arial" w:hAnsi="Arial" w:cs="Arial"/>
          <w:i/>
          <w:iCs/>
          <w:color w:val="002060"/>
          <w:sz w:val="20"/>
          <w:szCs w:val="20"/>
        </w:rPr>
        <w:t>-</w:t>
      </w:r>
      <w:r w:rsidR="00E23D75">
        <w:rPr>
          <w:rFonts w:ascii="Arial" w:hAnsi="Arial" w:cs="Arial"/>
          <w:i/>
          <w:iCs/>
          <w:color w:val="002060"/>
          <w:sz w:val="20"/>
          <w:szCs w:val="20"/>
        </w:rPr>
        <w:t>23</w:t>
      </w:r>
      <w:r w:rsidR="002E68A4" w:rsidRPr="00CD0492">
        <w:rPr>
          <w:rFonts w:ascii="Arial" w:hAnsi="Arial" w:cs="Arial"/>
          <w:i/>
          <w:iCs/>
          <w:color w:val="002060"/>
          <w:sz w:val="20"/>
          <w:szCs w:val="20"/>
        </w:rPr>
        <w:t>)</w:t>
      </w:r>
    </w:p>
    <w:p w14:paraId="460C03C6" w14:textId="77777777" w:rsidR="00CD4715" w:rsidRPr="00CD0492" w:rsidRDefault="00CD4715" w:rsidP="00CD4715">
      <w:pPr>
        <w:ind w:left="720"/>
        <w:rPr>
          <w:rFonts w:ascii="Arial" w:hAnsi="Arial" w:cs="Arial"/>
          <w:color w:val="002060"/>
          <w:sz w:val="18"/>
          <w:szCs w:val="18"/>
        </w:rPr>
      </w:pPr>
    </w:p>
    <w:p w14:paraId="55F98C6F" w14:textId="54A18E1E" w:rsidR="00CD4715" w:rsidRDefault="00CD4715" w:rsidP="00CD4715">
      <w:pPr>
        <w:rPr>
          <w:rFonts w:ascii="Arial" w:hAnsi="Arial" w:cs="Arial"/>
          <w:i/>
          <w:iCs/>
          <w:color w:val="002060"/>
          <w:sz w:val="20"/>
          <w:szCs w:val="20"/>
        </w:rPr>
      </w:pPr>
      <w:r w:rsidRPr="00CD0492">
        <w:rPr>
          <w:rFonts w:ascii="Arial" w:hAnsi="Arial" w:cs="Arial"/>
          <w:b/>
          <w:color w:val="002060"/>
          <w:sz w:val="18"/>
          <w:szCs w:val="18"/>
        </w:rPr>
        <w:t xml:space="preserve">Average Cost Estimates: </w:t>
      </w:r>
      <w:r w:rsidRPr="00CD0492">
        <w:rPr>
          <w:rFonts w:ascii="Arial" w:hAnsi="Arial" w:cs="Arial"/>
          <w:color w:val="002060"/>
          <w:sz w:val="18"/>
          <w:szCs w:val="18"/>
        </w:rPr>
        <w:t xml:space="preserve">The average cost by grant line item </w:t>
      </w:r>
      <w:r w:rsidR="00FB7EBE" w:rsidRPr="00CD0492">
        <w:rPr>
          <w:rFonts w:ascii="Arial" w:hAnsi="Arial" w:cs="Arial"/>
          <w:color w:val="002060"/>
          <w:sz w:val="18"/>
          <w:szCs w:val="18"/>
        </w:rPr>
        <w:t>for</w:t>
      </w:r>
      <w:r w:rsidRPr="00CD0492">
        <w:rPr>
          <w:rFonts w:ascii="Arial" w:hAnsi="Arial" w:cs="Arial"/>
          <w:color w:val="002060"/>
          <w:sz w:val="18"/>
          <w:szCs w:val="18"/>
        </w:rPr>
        <w:t xml:space="preserve"> documents and activities for closing and recording an easement </w:t>
      </w:r>
      <w:r w:rsidR="00FB7EBE" w:rsidRPr="00CD0492">
        <w:rPr>
          <w:rFonts w:ascii="Arial" w:hAnsi="Arial" w:cs="Arial"/>
          <w:color w:val="002060"/>
          <w:sz w:val="18"/>
          <w:szCs w:val="18"/>
        </w:rPr>
        <w:t>shall be</w:t>
      </w:r>
      <w:r w:rsidRPr="00CD0492">
        <w:rPr>
          <w:rFonts w:ascii="Arial" w:hAnsi="Arial" w:cs="Arial"/>
          <w:color w:val="002060"/>
          <w:sz w:val="18"/>
          <w:szCs w:val="18"/>
        </w:rPr>
        <w:t xml:space="preserve"> presented annually to the ADFPTF Advisory Committee.  The average cost estimates may be broken down into regional ar</w:t>
      </w:r>
      <w:r w:rsidR="00D126D7" w:rsidRPr="00CD0492">
        <w:rPr>
          <w:rFonts w:ascii="Arial" w:hAnsi="Arial" w:cs="Arial"/>
          <w:color w:val="002060"/>
          <w:sz w:val="18"/>
          <w:szCs w:val="18"/>
        </w:rPr>
        <w:t>eas or statewide</w:t>
      </w:r>
      <w:r w:rsidR="00984335" w:rsidRPr="00CD0492">
        <w:rPr>
          <w:rFonts w:ascii="Arial" w:hAnsi="Arial" w:cs="Arial"/>
          <w:color w:val="002060"/>
          <w:sz w:val="18"/>
          <w:szCs w:val="18"/>
        </w:rPr>
        <w:t xml:space="preserve"> and based upon actual ADFPTF conservation easement costs within the previous five (5) years</w:t>
      </w:r>
      <w:r w:rsidR="00D126D7" w:rsidRPr="00CD0492">
        <w:rPr>
          <w:rFonts w:ascii="Arial" w:hAnsi="Arial" w:cs="Arial"/>
          <w:color w:val="002060"/>
          <w:sz w:val="18"/>
          <w:szCs w:val="18"/>
        </w:rPr>
        <w:t>. The</w:t>
      </w:r>
      <w:r w:rsidRPr="00CD0492">
        <w:rPr>
          <w:rFonts w:ascii="Arial" w:hAnsi="Arial" w:cs="Arial"/>
          <w:color w:val="002060"/>
          <w:sz w:val="18"/>
          <w:szCs w:val="18"/>
        </w:rPr>
        <w:t xml:space="preserve"> Advisory Committee shall provide the staff recommendations or </w:t>
      </w:r>
      <w:r w:rsidR="00FB7EBE" w:rsidRPr="00CD0492">
        <w:rPr>
          <w:rFonts w:ascii="Arial" w:hAnsi="Arial" w:cs="Arial"/>
          <w:color w:val="002060"/>
          <w:sz w:val="18"/>
          <w:szCs w:val="18"/>
        </w:rPr>
        <w:t>may modify</w:t>
      </w:r>
      <w:r w:rsidRPr="00CD0492">
        <w:rPr>
          <w:rFonts w:ascii="Arial" w:hAnsi="Arial" w:cs="Arial"/>
          <w:color w:val="002060"/>
          <w:sz w:val="18"/>
          <w:szCs w:val="18"/>
        </w:rPr>
        <w:t xml:space="preserve"> the report to the Commissioner of Agriculture.  The ADFPTF staff</w:t>
      </w:r>
      <w:r w:rsidR="00FB7EBE" w:rsidRPr="00CD0492">
        <w:rPr>
          <w:rFonts w:ascii="Arial" w:hAnsi="Arial" w:cs="Arial"/>
          <w:color w:val="002060"/>
          <w:sz w:val="18"/>
          <w:szCs w:val="18"/>
        </w:rPr>
        <w:t>,</w:t>
      </w:r>
      <w:r w:rsidRPr="00CD0492">
        <w:rPr>
          <w:rFonts w:ascii="Arial" w:hAnsi="Arial" w:cs="Arial"/>
          <w:color w:val="002060"/>
          <w:sz w:val="18"/>
          <w:szCs w:val="18"/>
        </w:rPr>
        <w:t xml:space="preserve"> upon approval of the Commissioner of Agriculture</w:t>
      </w:r>
      <w:r w:rsidR="00FB7EBE" w:rsidRPr="00CD0492">
        <w:rPr>
          <w:rFonts w:ascii="Arial" w:hAnsi="Arial" w:cs="Arial"/>
          <w:color w:val="002060"/>
          <w:sz w:val="18"/>
          <w:szCs w:val="18"/>
        </w:rPr>
        <w:t>,</w:t>
      </w:r>
      <w:r w:rsidRPr="00CD0492">
        <w:rPr>
          <w:rFonts w:ascii="Arial" w:hAnsi="Arial" w:cs="Arial"/>
          <w:color w:val="002060"/>
          <w:sz w:val="18"/>
          <w:szCs w:val="18"/>
        </w:rPr>
        <w:t xml:space="preserve"> shall use the approved average costs in the development</w:t>
      </w:r>
      <w:r w:rsidR="00FB7EBE" w:rsidRPr="00CD0492">
        <w:rPr>
          <w:rFonts w:ascii="Arial" w:hAnsi="Arial" w:cs="Arial"/>
          <w:color w:val="002060"/>
          <w:sz w:val="18"/>
          <w:szCs w:val="18"/>
        </w:rPr>
        <w:t xml:space="preserve"> </w:t>
      </w:r>
      <w:r w:rsidRPr="00CD0492">
        <w:rPr>
          <w:rFonts w:ascii="Arial" w:hAnsi="Arial" w:cs="Arial"/>
          <w:color w:val="002060"/>
          <w:sz w:val="18"/>
          <w:szCs w:val="18"/>
        </w:rPr>
        <w:t xml:space="preserve">of conservation easement </w:t>
      </w:r>
      <w:r w:rsidR="00FB7EBE" w:rsidRPr="00CD0492">
        <w:rPr>
          <w:rFonts w:ascii="Arial" w:hAnsi="Arial" w:cs="Arial"/>
          <w:color w:val="002060"/>
          <w:sz w:val="18"/>
          <w:szCs w:val="18"/>
        </w:rPr>
        <w:t xml:space="preserve">contract </w:t>
      </w:r>
      <w:r w:rsidRPr="00CD0492">
        <w:rPr>
          <w:rFonts w:ascii="Arial" w:hAnsi="Arial" w:cs="Arial"/>
          <w:color w:val="002060"/>
          <w:sz w:val="18"/>
          <w:szCs w:val="18"/>
        </w:rPr>
        <w:t>budgets.  The contract budget</w:t>
      </w:r>
      <w:r w:rsidR="00FB7EBE" w:rsidRPr="00CD0492">
        <w:rPr>
          <w:rFonts w:ascii="Arial" w:hAnsi="Arial" w:cs="Arial"/>
          <w:color w:val="002060"/>
          <w:sz w:val="18"/>
          <w:szCs w:val="18"/>
        </w:rPr>
        <w:t>s</w:t>
      </w:r>
      <w:r w:rsidRPr="00CD0492">
        <w:rPr>
          <w:rFonts w:ascii="Arial" w:hAnsi="Arial" w:cs="Arial"/>
          <w:color w:val="002060"/>
          <w:sz w:val="18"/>
          <w:szCs w:val="18"/>
        </w:rPr>
        <w:t xml:space="preserve"> shall </w:t>
      </w:r>
      <w:r w:rsidR="00D126D7" w:rsidRPr="00CD0492">
        <w:rPr>
          <w:rFonts w:ascii="Arial" w:hAnsi="Arial" w:cs="Arial"/>
          <w:color w:val="002060"/>
          <w:sz w:val="18"/>
          <w:szCs w:val="18"/>
        </w:rPr>
        <w:t>use the approved average cost estimate when the requested amount in the application budget exceeds the approved average cost</w:t>
      </w:r>
      <w:r w:rsidRPr="00CD0492">
        <w:rPr>
          <w:rFonts w:ascii="Arial" w:hAnsi="Arial" w:cs="Arial"/>
          <w:color w:val="002060"/>
          <w:sz w:val="18"/>
          <w:szCs w:val="18"/>
        </w:rPr>
        <w:t>.</w:t>
      </w:r>
      <w:r w:rsidR="00762007" w:rsidRPr="00CD0492">
        <w:rPr>
          <w:rFonts w:ascii="Arial" w:hAnsi="Arial" w:cs="Arial"/>
          <w:color w:val="002060"/>
          <w:sz w:val="18"/>
          <w:szCs w:val="18"/>
        </w:rPr>
        <w:t xml:space="preserve">  </w:t>
      </w:r>
      <w:r w:rsidR="00762007" w:rsidRPr="00CD0492">
        <w:rPr>
          <w:rFonts w:ascii="Arial" w:hAnsi="Arial" w:cs="Arial"/>
          <w:color w:val="002060"/>
          <w:sz w:val="20"/>
          <w:szCs w:val="20"/>
        </w:rPr>
        <w:t>(</w:t>
      </w:r>
      <w:r w:rsidR="00762007" w:rsidRPr="00CD0492">
        <w:rPr>
          <w:rFonts w:ascii="Arial" w:hAnsi="Arial" w:cs="Arial"/>
          <w:i/>
          <w:iCs/>
          <w:color w:val="002060"/>
          <w:sz w:val="20"/>
          <w:szCs w:val="20"/>
        </w:rPr>
        <w:t>Approved 2-18-2021)</w:t>
      </w:r>
    </w:p>
    <w:p w14:paraId="54D5FCB6" w14:textId="304CB22D" w:rsidR="00FD5277" w:rsidRDefault="00FD5277" w:rsidP="00CD4715">
      <w:pPr>
        <w:rPr>
          <w:rFonts w:ascii="Arial" w:hAnsi="Arial" w:cs="Arial"/>
          <w:i/>
          <w:iCs/>
          <w:color w:val="002060"/>
          <w:sz w:val="20"/>
          <w:szCs w:val="20"/>
        </w:rPr>
      </w:pPr>
    </w:p>
    <w:p w14:paraId="095C3CF2" w14:textId="7CD7722E" w:rsidR="00FD5277" w:rsidRPr="00C6238A" w:rsidRDefault="00FD5277" w:rsidP="00CD4715">
      <w:pPr>
        <w:rPr>
          <w:rFonts w:ascii="Arial" w:hAnsi="Arial" w:cs="Arial"/>
          <w:color w:val="002060"/>
          <w:sz w:val="16"/>
          <w:szCs w:val="16"/>
        </w:rPr>
      </w:pPr>
      <w:r w:rsidRPr="00C6238A">
        <w:rPr>
          <w:rFonts w:ascii="Arial" w:hAnsi="Arial" w:cs="Arial"/>
          <w:b/>
          <w:bCs/>
          <w:color w:val="002060"/>
          <w:sz w:val="18"/>
          <w:szCs w:val="18"/>
        </w:rPr>
        <w:t>Easement Purchase and Stewardship Endowment Line Items:</w:t>
      </w:r>
      <w:r w:rsidRPr="00C6238A">
        <w:rPr>
          <w:rFonts w:ascii="Arial" w:hAnsi="Arial" w:cs="Arial"/>
          <w:color w:val="002060"/>
          <w:sz w:val="18"/>
          <w:szCs w:val="18"/>
        </w:rPr>
        <w:t xml:space="preserve"> </w:t>
      </w:r>
      <w:r w:rsidR="00B27B37">
        <w:rPr>
          <w:rFonts w:ascii="Arial" w:hAnsi="Arial" w:cs="Arial"/>
          <w:color w:val="002060"/>
          <w:sz w:val="18"/>
          <w:szCs w:val="18"/>
        </w:rPr>
        <w:t>The Easement Purchase and Stewardship Endowment line items</w:t>
      </w:r>
      <w:r w:rsidR="00B326E6">
        <w:rPr>
          <w:rFonts w:ascii="Arial" w:hAnsi="Arial" w:cs="Arial"/>
          <w:color w:val="002060"/>
          <w:sz w:val="18"/>
          <w:szCs w:val="18"/>
        </w:rPr>
        <w:t xml:space="preserve"> in conservation easement grant contracts</w:t>
      </w:r>
      <w:r w:rsidR="00B27B37">
        <w:rPr>
          <w:rFonts w:ascii="Arial" w:hAnsi="Arial" w:cs="Arial"/>
          <w:color w:val="002060"/>
          <w:sz w:val="18"/>
          <w:szCs w:val="18"/>
        </w:rPr>
        <w:t xml:space="preserve"> are ineligibl</w:t>
      </w:r>
      <w:r w:rsidR="00B326E6">
        <w:rPr>
          <w:rFonts w:ascii="Arial" w:hAnsi="Arial" w:cs="Arial"/>
          <w:color w:val="002060"/>
          <w:sz w:val="18"/>
          <w:szCs w:val="18"/>
        </w:rPr>
        <w:t>e for Budget</w:t>
      </w:r>
      <w:r w:rsidR="00782CF9">
        <w:rPr>
          <w:rFonts w:ascii="Arial" w:hAnsi="Arial" w:cs="Arial"/>
          <w:color w:val="002060"/>
          <w:sz w:val="18"/>
          <w:szCs w:val="18"/>
        </w:rPr>
        <w:t xml:space="preserve"> Revision Requests. A</w:t>
      </w:r>
      <w:r w:rsidR="00DC5671">
        <w:rPr>
          <w:rFonts w:ascii="Arial" w:hAnsi="Arial" w:cs="Arial"/>
          <w:color w:val="002060"/>
          <w:sz w:val="18"/>
          <w:szCs w:val="18"/>
        </w:rPr>
        <w:t xml:space="preserve"> Budget Revision Request exception </w:t>
      </w:r>
      <w:r w:rsidR="001D6605">
        <w:rPr>
          <w:rFonts w:ascii="Arial" w:hAnsi="Arial" w:cs="Arial"/>
          <w:color w:val="002060"/>
          <w:sz w:val="18"/>
          <w:szCs w:val="18"/>
        </w:rPr>
        <w:t xml:space="preserve">for the Easement Purchase and Stewardship Endowment line items </w:t>
      </w:r>
      <w:r w:rsidR="00DC5671">
        <w:rPr>
          <w:rFonts w:ascii="Arial" w:hAnsi="Arial" w:cs="Arial"/>
          <w:color w:val="002060"/>
          <w:sz w:val="18"/>
          <w:szCs w:val="18"/>
        </w:rPr>
        <w:t xml:space="preserve">may be </w:t>
      </w:r>
      <w:r w:rsidR="007A4F18">
        <w:rPr>
          <w:rFonts w:ascii="Arial" w:hAnsi="Arial" w:cs="Arial"/>
          <w:color w:val="002060"/>
          <w:sz w:val="18"/>
          <w:szCs w:val="18"/>
        </w:rPr>
        <w:t>approved</w:t>
      </w:r>
      <w:r w:rsidR="00D42D6E">
        <w:rPr>
          <w:rFonts w:ascii="Arial" w:hAnsi="Arial" w:cs="Arial"/>
          <w:color w:val="002060"/>
          <w:sz w:val="18"/>
          <w:szCs w:val="18"/>
        </w:rPr>
        <w:t xml:space="preserve"> if all</w:t>
      </w:r>
      <w:r w:rsidR="00AC6ADC">
        <w:rPr>
          <w:rFonts w:ascii="Arial" w:hAnsi="Arial" w:cs="Arial"/>
          <w:color w:val="002060"/>
          <w:sz w:val="18"/>
          <w:szCs w:val="18"/>
        </w:rPr>
        <w:t xml:space="preserve"> </w:t>
      </w:r>
      <w:r w:rsidR="00C72D6C">
        <w:rPr>
          <w:rFonts w:ascii="Arial" w:hAnsi="Arial" w:cs="Arial"/>
          <w:color w:val="002060"/>
          <w:sz w:val="18"/>
          <w:szCs w:val="18"/>
        </w:rPr>
        <w:t>other grant funds are expend</w:t>
      </w:r>
      <w:r w:rsidR="0054337F">
        <w:rPr>
          <w:rFonts w:ascii="Arial" w:hAnsi="Arial" w:cs="Arial"/>
          <w:color w:val="002060"/>
          <w:sz w:val="18"/>
          <w:szCs w:val="18"/>
        </w:rPr>
        <w:t>ed for allowable costs</w:t>
      </w:r>
      <w:r w:rsidR="00240DB5">
        <w:rPr>
          <w:rFonts w:ascii="Arial" w:hAnsi="Arial" w:cs="Arial"/>
          <w:color w:val="002060"/>
          <w:sz w:val="18"/>
          <w:szCs w:val="18"/>
        </w:rPr>
        <w:t>,</w:t>
      </w:r>
      <w:r w:rsidR="00DC5671">
        <w:rPr>
          <w:rFonts w:ascii="Arial" w:hAnsi="Arial" w:cs="Arial"/>
          <w:color w:val="002060"/>
          <w:sz w:val="18"/>
          <w:szCs w:val="18"/>
        </w:rPr>
        <w:t xml:space="preserve"> </w:t>
      </w:r>
      <w:r w:rsidR="00523916">
        <w:rPr>
          <w:rFonts w:ascii="Arial" w:hAnsi="Arial" w:cs="Arial"/>
          <w:color w:val="002060"/>
          <w:sz w:val="18"/>
          <w:szCs w:val="18"/>
        </w:rPr>
        <w:t xml:space="preserve">the final appraised easement purchase </w:t>
      </w:r>
      <w:r w:rsidR="001D6605">
        <w:rPr>
          <w:rFonts w:ascii="Arial" w:hAnsi="Arial" w:cs="Arial"/>
          <w:color w:val="002060"/>
          <w:sz w:val="18"/>
          <w:szCs w:val="18"/>
        </w:rPr>
        <w:t>is lower than the contract value</w:t>
      </w:r>
      <w:r w:rsidR="004F7113">
        <w:rPr>
          <w:rFonts w:ascii="Arial" w:hAnsi="Arial" w:cs="Arial"/>
          <w:color w:val="002060"/>
          <w:sz w:val="18"/>
          <w:szCs w:val="18"/>
        </w:rPr>
        <w:t>,</w:t>
      </w:r>
      <w:r w:rsidR="001D6605">
        <w:rPr>
          <w:rFonts w:ascii="Arial" w:hAnsi="Arial" w:cs="Arial"/>
          <w:color w:val="002060"/>
          <w:sz w:val="18"/>
          <w:szCs w:val="18"/>
        </w:rPr>
        <w:t xml:space="preserve"> and the </w:t>
      </w:r>
      <w:r w:rsidR="00D64A26">
        <w:rPr>
          <w:rFonts w:ascii="Arial" w:hAnsi="Arial" w:cs="Arial"/>
          <w:color w:val="002060"/>
          <w:sz w:val="18"/>
          <w:szCs w:val="18"/>
        </w:rPr>
        <w:t xml:space="preserve">percentage of cash considerations to the landowner(s) </w:t>
      </w:r>
      <w:r w:rsidR="00690B89">
        <w:rPr>
          <w:rFonts w:ascii="Arial" w:hAnsi="Arial" w:cs="Arial"/>
          <w:color w:val="002060"/>
          <w:sz w:val="18"/>
          <w:szCs w:val="18"/>
        </w:rPr>
        <w:t>is</w:t>
      </w:r>
      <w:r w:rsidR="00D64A26">
        <w:rPr>
          <w:rFonts w:ascii="Arial" w:hAnsi="Arial" w:cs="Arial"/>
          <w:color w:val="002060"/>
          <w:sz w:val="18"/>
          <w:szCs w:val="18"/>
        </w:rPr>
        <w:t xml:space="preserve"> not </w:t>
      </w:r>
      <w:r w:rsidR="002A5395">
        <w:rPr>
          <w:rFonts w:ascii="Arial" w:hAnsi="Arial" w:cs="Arial"/>
          <w:color w:val="002060"/>
          <w:sz w:val="18"/>
          <w:szCs w:val="18"/>
        </w:rPr>
        <w:t>reduced.</w:t>
      </w:r>
      <w:r w:rsidR="00511235">
        <w:rPr>
          <w:rFonts w:ascii="Arial" w:hAnsi="Arial" w:cs="Arial"/>
          <w:color w:val="002060"/>
          <w:sz w:val="18"/>
          <w:szCs w:val="18"/>
        </w:rPr>
        <w:t xml:space="preserve"> The exception must be submitted in writing with a detailed explanation of</w:t>
      </w:r>
      <w:r w:rsidR="002E77C9">
        <w:rPr>
          <w:rFonts w:ascii="Arial" w:hAnsi="Arial" w:cs="Arial"/>
          <w:color w:val="002060"/>
          <w:sz w:val="18"/>
          <w:szCs w:val="18"/>
        </w:rPr>
        <w:t xml:space="preserve"> t</w:t>
      </w:r>
      <w:r w:rsidR="00E042D8">
        <w:rPr>
          <w:rFonts w:ascii="Arial" w:hAnsi="Arial" w:cs="Arial"/>
          <w:color w:val="002060"/>
          <w:sz w:val="18"/>
          <w:szCs w:val="18"/>
        </w:rPr>
        <w:t>he request</w:t>
      </w:r>
      <w:r w:rsidR="004F7113">
        <w:rPr>
          <w:rFonts w:ascii="Arial" w:hAnsi="Arial" w:cs="Arial"/>
          <w:color w:val="002060"/>
          <w:sz w:val="18"/>
          <w:szCs w:val="18"/>
        </w:rPr>
        <w:t xml:space="preserve"> and is subject to approval. </w:t>
      </w:r>
      <w:r w:rsidR="004B51B2">
        <w:rPr>
          <w:rFonts w:ascii="Arial" w:hAnsi="Arial" w:cs="Arial"/>
          <w:color w:val="002060"/>
          <w:sz w:val="18"/>
          <w:szCs w:val="18"/>
        </w:rPr>
        <w:t>(</w:t>
      </w:r>
      <w:r w:rsidR="004B51B2" w:rsidRPr="004B51B2">
        <w:rPr>
          <w:rFonts w:ascii="Arial" w:hAnsi="Arial" w:cs="Arial"/>
          <w:i/>
          <w:iCs/>
          <w:color w:val="002060"/>
          <w:sz w:val="18"/>
          <w:szCs w:val="18"/>
        </w:rPr>
        <w:t>Approved</w:t>
      </w:r>
      <w:r w:rsidR="004B51B2">
        <w:rPr>
          <w:rFonts w:ascii="Arial" w:hAnsi="Arial" w:cs="Arial"/>
          <w:color w:val="002060"/>
          <w:sz w:val="18"/>
          <w:szCs w:val="18"/>
        </w:rPr>
        <w:t xml:space="preserve"> </w:t>
      </w:r>
      <w:r w:rsidR="004B51B2">
        <w:rPr>
          <w:rStyle w:val="Emphasis"/>
          <w:rFonts w:ascii="Arial" w:hAnsi="Arial" w:cs="Arial"/>
          <w:color w:val="002060"/>
          <w:sz w:val="18"/>
          <w:szCs w:val="18"/>
        </w:rPr>
        <w:t>3-1-22)</w:t>
      </w:r>
    </w:p>
    <w:p w14:paraId="618D5F6E" w14:textId="77777777" w:rsidR="004F11EB" w:rsidRPr="00CD0492" w:rsidRDefault="004F11EB" w:rsidP="00855158">
      <w:pPr>
        <w:rPr>
          <w:rFonts w:ascii="Arial" w:hAnsi="Arial" w:cs="Arial"/>
          <w:color w:val="002060"/>
          <w:sz w:val="18"/>
          <w:szCs w:val="18"/>
        </w:rPr>
      </w:pPr>
    </w:p>
    <w:p w14:paraId="0792E864" w14:textId="77777777" w:rsidR="00FA0EBB" w:rsidRPr="00CD0492" w:rsidRDefault="00FA0EBB" w:rsidP="00FA0EBB">
      <w:pPr>
        <w:pStyle w:val="style25"/>
        <w:rPr>
          <w:rFonts w:ascii="Arial" w:hAnsi="Arial" w:cs="Arial"/>
          <w:color w:val="002060"/>
          <w:sz w:val="24"/>
          <w:szCs w:val="24"/>
        </w:rPr>
      </w:pPr>
      <w:r w:rsidRPr="00CD0492">
        <w:rPr>
          <w:rFonts w:ascii="Arial" w:hAnsi="Arial" w:cs="Arial"/>
          <w:color w:val="002060"/>
          <w:sz w:val="24"/>
          <w:szCs w:val="24"/>
          <w:u w:val="single"/>
        </w:rPr>
        <w:t xml:space="preserve">General Information on Direct and Indirect Costs </w:t>
      </w:r>
    </w:p>
    <w:p w14:paraId="29E9E73F" w14:textId="28A0EE8C" w:rsidR="00FA0EBB" w:rsidRPr="00CD0492" w:rsidRDefault="00FA0EBB" w:rsidP="00FA0EBB">
      <w:pPr>
        <w:pStyle w:val="NormalWeb"/>
        <w:rPr>
          <w:rFonts w:ascii="Arial" w:hAnsi="Arial" w:cs="Arial"/>
          <w:color w:val="002060"/>
          <w:sz w:val="18"/>
          <w:szCs w:val="18"/>
        </w:rPr>
      </w:pPr>
      <w:r w:rsidRPr="00CD0492">
        <w:rPr>
          <w:rStyle w:val="Strong"/>
          <w:rFonts w:ascii="Arial" w:hAnsi="Arial" w:cs="Arial"/>
          <w:color w:val="002060"/>
          <w:sz w:val="18"/>
          <w:szCs w:val="18"/>
        </w:rPr>
        <w:t>Direct Costs</w:t>
      </w:r>
      <w:r w:rsidRPr="00CD0492">
        <w:rPr>
          <w:rFonts w:ascii="Arial" w:hAnsi="Arial" w:cs="Arial"/>
          <w:color w:val="002060"/>
          <w:sz w:val="18"/>
          <w:szCs w:val="18"/>
        </w:rPr>
        <w:t>: Costs that can be specifically identified with a particular project or program. </w:t>
      </w:r>
      <w:r w:rsidRPr="00CD0492">
        <w:rPr>
          <w:rStyle w:val="Strong"/>
          <w:rFonts w:ascii="Arial" w:hAnsi="Arial" w:cs="Arial"/>
          <w:b w:val="0"/>
          <w:i/>
          <w:color w:val="002060"/>
          <w:sz w:val="18"/>
          <w:szCs w:val="18"/>
        </w:rPr>
        <w:t>(Approved 12-09-08)</w:t>
      </w:r>
    </w:p>
    <w:p w14:paraId="3063C9C8" w14:textId="044DC78A" w:rsidR="00CD4715" w:rsidRPr="00CD0492" w:rsidRDefault="00FA0EBB" w:rsidP="004B51B2">
      <w:pPr>
        <w:pStyle w:val="NormalWeb"/>
        <w:rPr>
          <w:rFonts w:ascii="Arial" w:hAnsi="Arial" w:cs="Arial"/>
          <w:color w:val="002060"/>
          <w:sz w:val="18"/>
          <w:szCs w:val="18"/>
        </w:rPr>
      </w:pPr>
      <w:r w:rsidRPr="00CD0492">
        <w:rPr>
          <w:rStyle w:val="Strong"/>
          <w:rFonts w:ascii="Arial" w:hAnsi="Arial" w:cs="Arial"/>
          <w:color w:val="002060"/>
          <w:sz w:val="18"/>
          <w:szCs w:val="18"/>
        </w:rPr>
        <w:t>Indirect Costs</w:t>
      </w:r>
      <w:r w:rsidRPr="00CD0492">
        <w:rPr>
          <w:rFonts w:ascii="Arial" w:hAnsi="Arial" w:cs="Arial"/>
          <w:color w:val="002060"/>
          <w:sz w:val="18"/>
          <w:szCs w:val="18"/>
        </w:rPr>
        <w:t xml:space="preserve">: Costs that are incurred by a grantee organization for common or joint objectives and which therefore cannot be identified specifically with a particular project or program. </w:t>
      </w:r>
      <w:r w:rsidRPr="00CD0492">
        <w:rPr>
          <w:rStyle w:val="Strong"/>
          <w:rFonts w:ascii="Arial" w:hAnsi="Arial" w:cs="Arial"/>
          <w:b w:val="0"/>
          <w:i/>
          <w:color w:val="002060"/>
          <w:sz w:val="18"/>
          <w:szCs w:val="18"/>
        </w:rPr>
        <w:t>(Approved 12-09-08)</w:t>
      </w:r>
    </w:p>
    <w:p w14:paraId="7F40C5CF" w14:textId="77777777" w:rsidR="00CD4715" w:rsidRPr="00CD0492" w:rsidRDefault="00CD4715" w:rsidP="00FA0EBB">
      <w:pPr>
        <w:rPr>
          <w:rFonts w:ascii="Arial" w:hAnsi="Arial" w:cs="Arial"/>
          <w:color w:val="002060"/>
          <w:sz w:val="18"/>
          <w:szCs w:val="18"/>
        </w:rPr>
      </w:pPr>
    </w:p>
    <w:p w14:paraId="72F19354" w14:textId="77777777" w:rsidR="00CD4715" w:rsidRPr="00CD0492" w:rsidRDefault="00CD4715" w:rsidP="00FA0EBB">
      <w:pPr>
        <w:rPr>
          <w:rFonts w:ascii="Arial" w:hAnsi="Arial" w:cs="Arial"/>
          <w:b/>
          <w:color w:val="002060"/>
          <w:u w:val="single"/>
        </w:rPr>
      </w:pPr>
      <w:r w:rsidRPr="00CD0492">
        <w:rPr>
          <w:rFonts w:ascii="Arial" w:hAnsi="Arial" w:cs="Arial"/>
          <w:b/>
          <w:color w:val="002060"/>
          <w:u w:val="single"/>
        </w:rPr>
        <w:t>Special Terminology Use</w:t>
      </w:r>
    </w:p>
    <w:p w14:paraId="38ADE48B" w14:textId="77777777" w:rsidR="00FA0EBB" w:rsidRPr="00CD0492" w:rsidRDefault="00FA0EBB" w:rsidP="00FA0EBB">
      <w:pPr>
        <w:tabs>
          <w:tab w:val="left" w:pos="180"/>
        </w:tabs>
        <w:rPr>
          <w:rFonts w:ascii="Arial" w:hAnsi="Arial" w:cs="Arial"/>
          <w:color w:val="002060"/>
          <w:sz w:val="18"/>
          <w:szCs w:val="18"/>
        </w:rPr>
      </w:pPr>
    </w:p>
    <w:p w14:paraId="0225790C" w14:textId="7DC903FC" w:rsidR="00CD4715" w:rsidRPr="00593B48" w:rsidRDefault="00CD4715" w:rsidP="00FA0EBB">
      <w:pPr>
        <w:tabs>
          <w:tab w:val="left" w:pos="180"/>
        </w:tabs>
        <w:rPr>
          <w:rFonts w:ascii="Arial" w:hAnsi="Arial" w:cs="Arial"/>
          <w:color w:val="002060"/>
          <w:sz w:val="18"/>
          <w:szCs w:val="18"/>
        </w:rPr>
      </w:pPr>
      <w:r w:rsidRPr="00593B48">
        <w:rPr>
          <w:rFonts w:ascii="Arial" w:hAnsi="Arial" w:cs="Arial"/>
          <w:b/>
          <w:color w:val="002060"/>
          <w:sz w:val="18"/>
          <w:szCs w:val="18"/>
        </w:rPr>
        <w:t xml:space="preserve">Family Farm or Generation:  </w:t>
      </w:r>
      <w:r w:rsidRPr="00593B48">
        <w:rPr>
          <w:rFonts w:ascii="Arial" w:hAnsi="Arial" w:cs="Arial"/>
          <w:color w:val="002060"/>
          <w:sz w:val="18"/>
          <w:szCs w:val="18"/>
        </w:rPr>
        <w:t xml:space="preserve">The term </w:t>
      </w:r>
      <w:r w:rsidR="00FB7EBE" w:rsidRPr="00593B48">
        <w:rPr>
          <w:rFonts w:ascii="Arial" w:hAnsi="Arial" w:cs="Arial"/>
          <w:color w:val="002060"/>
          <w:sz w:val="18"/>
          <w:szCs w:val="18"/>
        </w:rPr>
        <w:t>"</w:t>
      </w:r>
      <w:r w:rsidRPr="00593B48">
        <w:rPr>
          <w:rFonts w:ascii="Arial" w:hAnsi="Arial" w:cs="Arial"/>
          <w:color w:val="002060"/>
          <w:sz w:val="18"/>
          <w:szCs w:val="18"/>
        </w:rPr>
        <w:t>Family Farm</w:t>
      </w:r>
      <w:r w:rsidR="00FB7EBE" w:rsidRPr="00593B48">
        <w:rPr>
          <w:rFonts w:ascii="Arial" w:hAnsi="Arial" w:cs="Arial"/>
          <w:color w:val="002060"/>
          <w:sz w:val="18"/>
          <w:szCs w:val="18"/>
        </w:rPr>
        <w:t>"</w:t>
      </w:r>
      <w:r w:rsidRPr="00593B48">
        <w:rPr>
          <w:rFonts w:ascii="Arial" w:hAnsi="Arial" w:cs="Arial"/>
          <w:color w:val="002060"/>
          <w:sz w:val="18"/>
          <w:szCs w:val="18"/>
        </w:rPr>
        <w:t xml:space="preserve"> or </w:t>
      </w:r>
      <w:r w:rsidR="00FB7EBE" w:rsidRPr="00593B48">
        <w:rPr>
          <w:rFonts w:ascii="Arial" w:hAnsi="Arial" w:cs="Arial"/>
          <w:color w:val="002060"/>
          <w:sz w:val="18"/>
          <w:szCs w:val="18"/>
        </w:rPr>
        <w:t>"</w:t>
      </w:r>
      <w:r w:rsidRPr="00593B48">
        <w:rPr>
          <w:rFonts w:ascii="Arial" w:hAnsi="Arial" w:cs="Arial"/>
          <w:color w:val="002060"/>
          <w:sz w:val="18"/>
          <w:szCs w:val="18"/>
        </w:rPr>
        <w:t>generation</w:t>
      </w:r>
      <w:r w:rsidR="00FB7EBE" w:rsidRPr="00593B48">
        <w:rPr>
          <w:rFonts w:ascii="Arial" w:hAnsi="Arial" w:cs="Arial"/>
          <w:color w:val="002060"/>
          <w:sz w:val="18"/>
          <w:szCs w:val="18"/>
        </w:rPr>
        <w:t>"</w:t>
      </w:r>
      <w:r w:rsidRPr="00593B48">
        <w:rPr>
          <w:rFonts w:ascii="Arial" w:hAnsi="Arial" w:cs="Arial"/>
          <w:color w:val="002060"/>
          <w:sz w:val="18"/>
          <w:szCs w:val="18"/>
        </w:rPr>
        <w:t xml:space="preserve"> shall recognize any private business entity legally accepted by the State of North Carolina associated with food or fiber production</w:t>
      </w:r>
      <w:r w:rsidR="007E4C88" w:rsidRPr="00593B48">
        <w:rPr>
          <w:rFonts w:ascii="Arial" w:hAnsi="Arial" w:cs="Arial"/>
          <w:color w:val="002060"/>
          <w:sz w:val="18"/>
          <w:szCs w:val="18"/>
        </w:rPr>
        <w:t xml:space="preserve"> </w:t>
      </w:r>
      <w:proofErr w:type="gramStart"/>
      <w:r w:rsidR="007E4C88" w:rsidRPr="00593B48">
        <w:rPr>
          <w:rFonts w:ascii="Arial" w:hAnsi="Arial" w:cs="Arial"/>
          <w:color w:val="002060"/>
          <w:sz w:val="18"/>
          <w:szCs w:val="18"/>
        </w:rPr>
        <w:t>with</w:t>
      </w:r>
      <w:r w:rsidR="0042055D" w:rsidRPr="00593B48">
        <w:rPr>
          <w:rFonts w:ascii="Arial" w:hAnsi="Arial" w:cs="Arial"/>
          <w:color w:val="002060"/>
          <w:sz w:val="18"/>
          <w:szCs w:val="18"/>
        </w:rPr>
        <w:t xml:space="preserve"> the</w:t>
      </w:r>
      <w:r w:rsidR="007E4C88" w:rsidRPr="00593B48">
        <w:rPr>
          <w:rFonts w:ascii="Arial" w:hAnsi="Arial" w:cs="Arial"/>
          <w:color w:val="002060"/>
          <w:sz w:val="18"/>
          <w:szCs w:val="18"/>
        </w:rPr>
        <w:t xml:space="preserve"> exception of</w:t>
      </w:r>
      <w:proofErr w:type="gramEnd"/>
      <w:r w:rsidR="007E4C88" w:rsidRPr="00593B48">
        <w:rPr>
          <w:rFonts w:ascii="Arial" w:hAnsi="Arial" w:cs="Arial"/>
          <w:color w:val="002060"/>
          <w:sz w:val="18"/>
          <w:szCs w:val="18"/>
        </w:rPr>
        <w:t xml:space="preserve"> municipal, county, state</w:t>
      </w:r>
      <w:r w:rsidR="0042055D" w:rsidRPr="00593B48">
        <w:rPr>
          <w:rFonts w:ascii="Arial" w:hAnsi="Arial" w:cs="Arial"/>
          <w:color w:val="002060"/>
          <w:sz w:val="18"/>
          <w:szCs w:val="18"/>
        </w:rPr>
        <w:t>,</w:t>
      </w:r>
      <w:r w:rsidR="007E4C88" w:rsidRPr="00593B48">
        <w:rPr>
          <w:rFonts w:ascii="Arial" w:hAnsi="Arial" w:cs="Arial"/>
          <w:color w:val="002060"/>
          <w:sz w:val="18"/>
          <w:szCs w:val="18"/>
        </w:rPr>
        <w:t xml:space="preserve"> or federal ownership.</w:t>
      </w:r>
      <w:r w:rsidR="00762007" w:rsidRPr="00593B48">
        <w:rPr>
          <w:rFonts w:ascii="Arial" w:hAnsi="Arial" w:cs="Arial"/>
          <w:color w:val="002060"/>
          <w:sz w:val="18"/>
          <w:szCs w:val="18"/>
        </w:rPr>
        <w:t xml:space="preserve"> (</w:t>
      </w:r>
      <w:r w:rsidR="00762007" w:rsidRPr="00593B48">
        <w:rPr>
          <w:rFonts w:ascii="Arial" w:hAnsi="Arial" w:cs="Arial"/>
          <w:i/>
          <w:iCs/>
          <w:color w:val="002060"/>
          <w:sz w:val="18"/>
          <w:szCs w:val="18"/>
        </w:rPr>
        <w:t>Approved 2-18-2021)</w:t>
      </w:r>
      <w:r w:rsidR="00762007" w:rsidRPr="00593B48">
        <w:rPr>
          <w:rFonts w:ascii="Arial" w:hAnsi="Arial" w:cs="Arial"/>
          <w:color w:val="002060"/>
          <w:sz w:val="18"/>
          <w:szCs w:val="18"/>
        </w:rPr>
        <w:t xml:space="preserve"> </w:t>
      </w:r>
    </w:p>
    <w:p w14:paraId="2FC0D9A9" w14:textId="146AE35E" w:rsidR="0079211F" w:rsidRPr="00593B48" w:rsidRDefault="0079211F" w:rsidP="00FA0EBB">
      <w:pPr>
        <w:tabs>
          <w:tab w:val="left" w:pos="180"/>
        </w:tabs>
        <w:rPr>
          <w:rFonts w:ascii="Arial" w:hAnsi="Arial" w:cs="Arial"/>
          <w:color w:val="002060"/>
          <w:sz w:val="18"/>
          <w:szCs w:val="18"/>
        </w:rPr>
      </w:pPr>
    </w:p>
    <w:p w14:paraId="7F295AA7" w14:textId="07AA8419" w:rsidR="00CD4715" w:rsidRPr="00593B48" w:rsidRDefault="0079211F" w:rsidP="00FA0EBB">
      <w:pPr>
        <w:tabs>
          <w:tab w:val="left" w:pos="180"/>
        </w:tabs>
        <w:rPr>
          <w:rFonts w:ascii="Arial" w:hAnsi="Arial" w:cs="Arial"/>
          <w:color w:val="002060"/>
          <w:sz w:val="18"/>
          <w:szCs w:val="18"/>
        </w:rPr>
      </w:pPr>
      <w:r w:rsidRPr="00593B48">
        <w:rPr>
          <w:rFonts w:ascii="Arial" w:hAnsi="Arial" w:cs="Arial"/>
          <w:b/>
          <w:color w:val="002060"/>
          <w:sz w:val="18"/>
          <w:szCs w:val="18"/>
        </w:rPr>
        <w:t xml:space="preserve">Producer: </w:t>
      </w:r>
      <w:r w:rsidRPr="00593B48">
        <w:rPr>
          <w:rFonts w:ascii="Arial" w:hAnsi="Arial" w:cs="Arial"/>
          <w:color w:val="002060"/>
          <w:sz w:val="18"/>
          <w:szCs w:val="18"/>
        </w:rPr>
        <w:t>Is defined as an individual or entity that produces an Agricultural Commodity through participation in the day-to-day labor, management, and field operations; or that has the legal right to harvest an Agricultural Commodity.</w:t>
      </w:r>
      <w:r w:rsidR="00762007" w:rsidRPr="00593B48">
        <w:rPr>
          <w:rFonts w:ascii="Arial" w:hAnsi="Arial" w:cs="Arial"/>
          <w:color w:val="002060"/>
          <w:sz w:val="18"/>
          <w:szCs w:val="18"/>
        </w:rPr>
        <w:t xml:space="preserve">  (</w:t>
      </w:r>
      <w:r w:rsidR="00762007" w:rsidRPr="00593B48">
        <w:rPr>
          <w:rFonts w:ascii="Arial" w:hAnsi="Arial" w:cs="Arial"/>
          <w:i/>
          <w:iCs/>
          <w:color w:val="002060"/>
          <w:sz w:val="18"/>
          <w:szCs w:val="18"/>
        </w:rPr>
        <w:t>Approved 2-18-2021)</w:t>
      </w:r>
    </w:p>
    <w:p w14:paraId="75740B00" w14:textId="77777777" w:rsidR="0079211F" w:rsidRDefault="0079211F" w:rsidP="00FA0EBB">
      <w:pPr>
        <w:tabs>
          <w:tab w:val="left" w:pos="180"/>
        </w:tabs>
        <w:rPr>
          <w:rFonts w:ascii="Arial" w:hAnsi="Arial" w:cs="Arial"/>
          <w:color w:val="FF0000"/>
          <w:sz w:val="18"/>
          <w:szCs w:val="18"/>
        </w:rPr>
      </w:pPr>
    </w:p>
    <w:p w14:paraId="4A422583" w14:textId="77777777" w:rsidR="007E4C88" w:rsidRDefault="007E4C88" w:rsidP="007E4C88">
      <w:pPr>
        <w:tabs>
          <w:tab w:val="left" w:pos="180"/>
        </w:tabs>
        <w:rPr>
          <w:rFonts w:ascii="Arial" w:hAnsi="Arial" w:cs="Arial"/>
          <w:color w:val="FF0000"/>
          <w:sz w:val="18"/>
          <w:szCs w:val="18"/>
        </w:rPr>
      </w:pPr>
    </w:p>
    <w:p w14:paraId="66A5F186" w14:textId="66DDAF60" w:rsidR="007E4C88" w:rsidRPr="00C6238A" w:rsidRDefault="007E4C88" w:rsidP="007E4C88">
      <w:pPr>
        <w:tabs>
          <w:tab w:val="left" w:pos="180"/>
        </w:tabs>
        <w:rPr>
          <w:rFonts w:ascii="Arial" w:hAnsi="Arial" w:cs="Arial"/>
          <w:color w:val="002060"/>
          <w:sz w:val="18"/>
          <w:szCs w:val="18"/>
        </w:rPr>
      </w:pPr>
      <w:r w:rsidRPr="00C6238A">
        <w:rPr>
          <w:rFonts w:ascii="Arial" w:hAnsi="Arial" w:cs="Arial"/>
          <w:color w:val="002060"/>
          <w:sz w:val="18"/>
          <w:szCs w:val="18"/>
        </w:rPr>
        <w:t xml:space="preserve">NOTE: Please also refer to the NC ADFP Trust Fund </w:t>
      </w:r>
      <w:hyperlink r:id="rId11" w:history="1">
        <w:r w:rsidRPr="00C6238A">
          <w:rPr>
            <w:rStyle w:val="Hyperlink"/>
            <w:rFonts w:ascii="Arial" w:hAnsi="Arial" w:cs="Arial"/>
            <w:b/>
            <w:color w:val="002060"/>
            <w:sz w:val="18"/>
            <w:szCs w:val="18"/>
          </w:rPr>
          <w:t>Application Guidelines</w:t>
        </w:r>
      </w:hyperlink>
      <w:r w:rsidRPr="00C6238A">
        <w:rPr>
          <w:rFonts w:ascii="Arial" w:hAnsi="Arial" w:cs="Arial"/>
          <w:color w:val="002060"/>
          <w:sz w:val="18"/>
          <w:szCs w:val="18"/>
        </w:rPr>
        <w:t xml:space="preserve"> and other instructional documents located on the ADFP webpage for additional guidance. Please see </w:t>
      </w:r>
      <w:r w:rsidRPr="00C6238A">
        <w:rPr>
          <w:rFonts w:ascii="Arial" w:hAnsi="Arial" w:cs="Arial"/>
          <w:b/>
          <w:bCs/>
          <w:color w:val="002060"/>
          <w:sz w:val="18"/>
          <w:szCs w:val="18"/>
          <w:u w:val="single"/>
        </w:rPr>
        <w:t>General Information on Direct and Indirect Costs</w:t>
      </w:r>
      <w:r w:rsidRPr="00C6238A">
        <w:rPr>
          <w:rFonts w:ascii="Arial" w:hAnsi="Arial" w:cs="Arial"/>
          <w:color w:val="002060"/>
          <w:sz w:val="18"/>
          <w:szCs w:val="18"/>
        </w:rPr>
        <w:t xml:space="preserve"> for definitions and </w:t>
      </w:r>
      <w:hyperlink r:id="rId12" w:history="1">
        <w:r w:rsidRPr="00C6238A">
          <w:rPr>
            <w:rStyle w:val="Hyperlink"/>
            <w:rFonts w:ascii="Arial" w:hAnsi="Arial" w:cs="Arial"/>
            <w:b/>
            <w:bCs/>
            <w:i/>
            <w:iCs/>
            <w:color w:val="002060"/>
            <w:sz w:val="18"/>
            <w:szCs w:val="18"/>
          </w:rPr>
          <w:t>Application Guidelines</w:t>
        </w:r>
      </w:hyperlink>
      <w:r w:rsidRPr="00C6238A">
        <w:rPr>
          <w:rFonts w:ascii="Arial" w:hAnsi="Arial" w:cs="Arial"/>
          <w:color w:val="002060"/>
          <w:sz w:val="18"/>
          <w:szCs w:val="18"/>
        </w:rPr>
        <w:t xml:space="preserve"> for more cost information.</w:t>
      </w:r>
    </w:p>
    <w:p w14:paraId="2286EC48" w14:textId="77777777" w:rsidR="00CD4715" w:rsidRPr="00CD4715" w:rsidRDefault="00CD4715" w:rsidP="00FA0EBB">
      <w:pPr>
        <w:tabs>
          <w:tab w:val="left" w:pos="180"/>
        </w:tabs>
        <w:rPr>
          <w:rFonts w:ascii="Arial" w:hAnsi="Arial" w:cs="Arial"/>
          <w:color w:val="FF0000"/>
          <w:sz w:val="18"/>
          <w:szCs w:val="18"/>
        </w:rPr>
      </w:pPr>
    </w:p>
    <w:sectPr w:rsidR="00CD4715" w:rsidRPr="00CD4715" w:rsidSect="00AB0EFB">
      <w:headerReference w:type="even" r:id="rId13"/>
      <w:headerReference w:type="default" r:id="rId14"/>
      <w:footerReference w:type="even" r:id="rId15"/>
      <w:footerReference w:type="default" r:id="rId16"/>
      <w:headerReference w:type="first" r:id="rId17"/>
      <w:footerReference w:type="first" r:id="rId18"/>
      <w:pgSz w:w="12240" w:h="15840"/>
      <w:pgMar w:top="1080" w:right="1800" w:bottom="9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B314E09" w14:textId="77777777" w:rsidR="00E97B91" w:rsidRDefault="00E97B91" w:rsidP="0043392A">
      <w:r>
        <w:separator/>
      </w:r>
    </w:p>
  </w:endnote>
  <w:endnote w:type="continuationSeparator" w:id="0">
    <w:p w14:paraId="1CCD0C35" w14:textId="77777777" w:rsidR="00E97B91" w:rsidRDefault="00E97B91" w:rsidP="00433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7AC59E7" w14:textId="77777777" w:rsidR="0043392A" w:rsidRDefault="00433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B7ECC32" w14:textId="77777777" w:rsidR="0043392A" w:rsidRDefault="00433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CF7F006" w14:textId="77777777" w:rsidR="0043392A" w:rsidRDefault="00433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8E99D2C" w14:textId="77777777" w:rsidR="00E97B91" w:rsidRDefault="00E97B91" w:rsidP="0043392A">
      <w:r>
        <w:separator/>
      </w:r>
    </w:p>
  </w:footnote>
  <w:footnote w:type="continuationSeparator" w:id="0">
    <w:p w14:paraId="323D60F6" w14:textId="77777777" w:rsidR="00E97B91" w:rsidRDefault="00E97B91" w:rsidP="00433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F27FE26" w14:textId="27A6F232" w:rsidR="0043392A" w:rsidRDefault="00433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3561753" w14:textId="4AA62C80" w:rsidR="0043392A" w:rsidRDefault="004339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8D153E7" w14:textId="0C5157EE" w:rsidR="0043392A" w:rsidRDefault="00433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2C386B"/>
    <w:multiLevelType w:val="hybridMultilevel"/>
    <w:tmpl w:val="4B94C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14968"/>
    <w:multiLevelType w:val="hybridMultilevel"/>
    <w:tmpl w:val="BB7C1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70FB3"/>
    <w:multiLevelType w:val="hybridMultilevel"/>
    <w:tmpl w:val="1082B9A2"/>
    <w:lvl w:ilvl="0" w:tplc="2BDE3FE2">
      <w:start w:val="1"/>
      <w:numFmt w:val="bullet"/>
      <w:lvlText w:val="–"/>
      <w:lvlJc w:val="left"/>
      <w:pPr>
        <w:tabs>
          <w:tab w:val="num" w:pos="720"/>
        </w:tabs>
        <w:ind w:left="720" w:hanging="360"/>
      </w:pPr>
      <w:rPr>
        <w:rFonts w:ascii="Arial" w:hAnsi="Arial" w:hint="default"/>
      </w:rPr>
    </w:lvl>
    <w:lvl w:ilvl="1" w:tplc="251622DA">
      <w:start w:val="1"/>
      <w:numFmt w:val="bullet"/>
      <w:lvlText w:val="–"/>
      <w:lvlJc w:val="left"/>
      <w:pPr>
        <w:tabs>
          <w:tab w:val="num" w:pos="1440"/>
        </w:tabs>
        <w:ind w:left="1440" w:hanging="360"/>
      </w:pPr>
      <w:rPr>
        <w:rFonts w:ascii="Arial" w:hAnsi="Arial" w:hint="default"/>
      </w:rPr>
    </w:lvl>
    <w:lvl w:ilvl="2" w:tplc="6308B336" w:tentative="1">
      <w:start w:val="1"/>
      <w:numFmt w:val="bullet"/>
      <w:lvlText w:val="–"/>
      <w:lvlJc w:val="left"/>
      <w:pPr>
        <w:tabs>
          <w:tab w:val="num" w:pos="2160"/>
        </w:tabs>
        <w:ind w:left="2160" w:hanging="360"/>
      </w:pPr>
      <w:rPr>
        <w:rFonts w:ascii="Arial" w:hAnsi="Arial" w:hint="default"/>
      </w:rPr>
    </w:lvl>
    <w:lvl w:ilvl="3" w:tplc="944E1A3C" w:tentative="1">
      <w:start w:val="1"/>
      <w:numFmt w:val="bullet"/>
      <w:lvlText w:val="–"/>
      <w:lvlJc w:val="left"/>
      <w:pPr>
        <w:tabs>
          <w:tab w:val="num" w:pos="2880"/>
        </w:tabs>
        <w:ind w:left="2880" w:hanging="360"/>
      </w:pPr>
      <w:rPr>
        <w:rFonts w:ascii="Arial" w:hAnsi="Arial" w:hint="default"/>
      </w:rPr>
    </w:lvl>
    <w:lvl w:ilvl="4" w:tplc="CA1AFE74" w:tentative="1">
      <w:start w:val="1"/>
      <w:numFmt w:val="bullet"/>
      <w:lvlText w:val="–"/>
      <w:lvlJc w:val="left"/>
      <w:pPr>
        <w:tabs>
          <w:tab w:val="num" w:pos="3600"/>
        </w:tabs>
        <w:ind w:left="3600" w:hanging="360"/>
      </w:pPr>
      <w:rPr>
        <w:rFonts w:ascii="Arial" w:hAnsi="Arial" w:hint="default"/>
      </w:rPr>
    </w:lvl>
    <w:lvl w:ilvl="5" w:tplc="4D88CEC4" w:tentative="1">
      <w:start w:val="1"/>
      <w:numFmt w:val="bullet"/>
      <w:lvlText w:val="–"/>
      <w:lvlJc w:val="left"/>
      <w:pPr>
        <w:tabs>
          <w:tab w:val="num" w:pos="4320"/>
        </w:tabs>
        <w:ind w:left="4320" w:hanging="360"/>
      </w:pPr>
      <w:rPr>
        <w:rFonts w:ascii="Arial" w:hAnsi="Arial" w:hint="default"/>
      </w:rPr>
    </w:lvl>
    <w:lvl w:ilvl="6" w:tplc="C43CD3BA" w:tentative="1">
      <w:start w:val="1"/>
      <w:numFmt w:val="bullet"/>
      <w:lvlText w:val="–"/>
      <w:lvlJc w:val="left"/>
      <w:pPr>
        <w:tabs>
          <w:tab w:val="num" w:pos="5040"/>
        </w:tabs>
        <w:ind w:left="5040" w:hanging="360"/>
      </w:pPr>
      <w:rPr>
        <w:rFonts w:ascii="Arial" w:hAnsi="Arial" w:hint="default"/>
      </w:rPr>
    </w:lvl>
    <w:lvl w:ilvl="7" w:tplc="0DCCAF46" w:tentative="1">
      <w:start w:val="1"/>
      <w:numFmt w:val="bullet"/>
      <w:lvlText w:val="–"/>
      <w:lvlJc w:val="left"/>
      <w:pPr>
        <w:tabs>
          <w:tab w:val="num" w:pos="5760"/>
        </w:tabs>
        <w:ind w:left="5760" w:hanging="360"/>
      </w:pPr>
      <w:rPr>
        <w:rFonts w:ascii="Arial" w:hAnsi="Arial" w:hint="default"/>
      </w:rPr>
    </w:lvl>
    <w:lvl w:ilvl="8" w:tplc="B70266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BC2752"/>
    <w:multiLevelType w:val="hybridMultilevel"/>
    <w:tmpl w:val="4FA4C200"/>
    <w:lvl w:ilvl="0" w:tplc="F68873DA">
      <w:start w:val="1"/>
      <w:numFmt w:val="bullet"/>
      <w:lvlText w:val="–"/>
      <w:lvlJc w:val="left"/>
      <w:pPr>
        <w:tabs>
          <w:tab w:val="num" w:pos="720"/>
        </w:tabs>
        <w:ind w:left="720" w:hanging="360"/>
      </w:pPr>
      <w:rPr>
        <w:rFonts w:ascii="Arial" w:hAnsi="Arial" w:hint="default"/>
      </w:rPr>
    </w:lvl>
    <w:lvl w:ilvl="1" w:tplc="15745E92">
      <w:start w:val="1"/>
      <w:numFmt w:val="bullet"/>
      <w:lvlText w:val="–"/>
      <w:lvlJc w:val="left"/>
      <w:pPr>
        <w:tabs>
          <w:tab w:val="num" w:pos="1440"/>
        </w:tabs>
        <w:ind w:left="1440" w:hanging="360"/>
      </w:pPr>
      <w:rPr>
        <w:rFonts w:ascii="Arial" w:hAnsi="Arial" w:hint="default"/>
      </w:rPr>
    </w:lvl>
    <w:lvl w:ilvl="2" w:tplc="96A01B1A" w:tentative="1">
      <w:start w:val="1"/>
      <w:numFmt w:val="bullet"/>
      <w:lvlText w:val="–"/>
      <w:lvlJc w:val="left"/>
      <w:pPr>
        <w:tabs>
          <w:tab w:val="num" w:pos="2160"/>
        </w:tabs>
        <w:ind w:left="2160" w:hanging="360"/>
      </w:pPr>
      <w:rPr>
        <w:rFonts w:ascii="Arial" w:hAnsi="Arial" w:hint="default"/>
      </w:rPr>
    </w:lvl>
    <w:lvl w:ilvl="3" w:tplc="066A8AE6" w:tentative="1">
      <w:start w:val="1"/>
      <w:numFmt w:val="bullet"/>
      <w:lvlText w:val="–"/>
      <w:lvlJc w:val="left"/>
      <w:pPr>
        <w:tabs>
          <w:tab w:val="num" w:pos="2880"/>
        </w:tabs>
        <w:ind w:left="2880" w:hanging="360"/>
      </w:pPr>
      <w:rPr>
        <w:rFonts w:ascii="Arial" w:hAnsi="Arial" w:hint="default"/>
      </w:rPr>
    </w:lvl>
    <w:lvl w:ilvl="4" w:tplc="18A48ECA" w:tentative="1">
      <w:start w:val="1"/>
      <w:numFmt w:val="bullet"/>
      <w:lvlText w:val="–"/>
      <w:lvlJc w:val="left"/>
      <w:pPr>
        <w:tabs>
          <w:tab w:val="num" w:pos="3600"/>
        </w:tabs>
        <w:ind w:left="3600" w:hanging="360"/>
      </w:pPr>
      <w:rPr>
        <w:rFonts w:ascii="Arial" w:hAnsi="Arial" w:hint="default"/>
      </w:rPr>
    </w:lvl>
    <w:lvl w:ilvl="5" w:tplc="7D9C6FCE" w:tentative="1">
      <w:start w:val="1"/>
      <w:numFmt w:val="bullet"/>
      <w:lvlText w:val="–"/>
      <w:lvlJc w:val="left"/>
      <w:pPr>
        <w:tabs>
          <w:tab w:val="num" w:pos="4320"/>
        </w:tabs>
        <w:ind w:left="4320" w:hanging="360"/>
      </w:pPr>
      <w:rPr>
        <w:rFonts w:ascii="Arial" w:hAnsi="Arial" w:hint="default"/>
      </w:rPr>
    </w:lvl>
    <w:lvl w:ilvl="6" w:tplc="89E0F23C" w:tentative="1">
      <w:start w:val="1"/>
      <w:numFmt w:val="bullet"/>
      <w:lvlText w:val="–"/>
      <w:lvlJc w:val="left"/>
      <w:pPr>
        <w:tabs>
          <w:tab w:val="num" w:pos="5040"/>
        </w:tabs>
        <w:ind w:left="5040" w:hanging="360"/>
      </w:pPr>
      <w:rPr>
        <w:rFonts w:ascii="Arial" w:hAnsi="Arial" w:hint="default"/>
      </w:rPr>
    </w:lvl>
    <w:lvl w:ilvl="7" w:tplc="8F0E8D3C" w:tentative="1">
      <w:start w:val="1"/>
      <w:numFmt w:val="bullet"/>
      <w:lvlText w:val="–"/>
      <w:lvlJc w:val="left"/>
      <w:pPr>
        <w:tabs>
          <w:tab w:val="num" w:pos="5760"/>
        </w:tabs>
        <w:ind w:left="5760" w:hanging="360"/>
      </w:pPr>
      <w:rPr>
        <w:rFonts w:ascii="Arial" w:hAnsi="Arial" w:hint="default"/>
      </w:rPr>
    </w:lvl>
    <w:lvl w:ilvl="8" w:tplc="CB90DB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DD5DEC"/>
    <w:multiLevelType w:val="hybridMultilevel"/>
    <w:tmpl w:val="FE1C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C4527"/>
    <w:multiLevelType w:val="hybridMultilevel"/>
    <w:tmpl w:val="78CCA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411FC"/>
    <w:multiLevelType w:val="hybridMultilevel"/>
    <w:tmpl w:val="4BCE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E7AA6"/>
    <w:multiLevelType w:val="hybridMultilevel"/>
    <w:tmpl w:val="F664F338"/>
    <w:lvl w:ilvl="0" w:tplc="5B182414">
      <w:start w:val="1"/>
      <w:numFmt w:val="bullet"/>
      <w:lvlText w:val="•"/>
      <w:lvlJc w:val="left"/>
      <w:pPr>
        <w:tabs>
          <w:tab w:val="num" w:pos="720"/>
        </w:tabs>
        <w:ind w:left="720" w:hanging="360"/>
      </w:pPr>
      <w:rPr>
        <w:rFonts w:ascii="Arial" w:hAnsi="Arial" w:hint="default"/>
      </w:rPr>
    </w:lvl>
    <w:lvl w:ilvl="1" w:tplc="611E14BA" w:tentative="1">
      <w:start w:val="1"/>
      <w:numFmt w:val="bullet"/>
      <w:lvlText w:val="•"/>
      <w:lvlJc w:val="left"/>
      <w:pPr>
        <w:tabs>
          <w:tab w:val="num" w:pos="1440"/>
        </w:tabs>
        <w:ind w:left="1440" w:hanging="360"/>
      </w:pPr>
      <w:rPr>
        <w:rFonts w:ascii="Arial" w:hAnsi="Arial" w:hint="default"/>
      </w:rPr>
    </w:lvl>
    <w:lvl w:ilvl="2" w:tplc="8DE65132" w:tentative="1">
      <w:start w:val="1"/>
      <w:numFmt w:val="bullet"/>
      <w:lvlText w:val="•"/>
      <w:lvlJc w:val="left"/>
      <w:pPr>
        <w:tabs>
          <w:tab w:val="num" w:pos="2160"/>
        </w:tabs>
        <w:ind w:left="2160" w:hanging="360"/>
      </w:pPr>
      <w:rPr>
        <w:rFonts w:ascii="Arial" w:hAnsi="Arial" w:hint="default"/>
      </w:rPr>
    </w:lvl>
    <w:lvl w:ilvl="3" w:tplc="4C6A00DE" w:tentative="1">
      <w:start w:val="1"/>
      <w:numFmt w:val="bullet"/>
      <w:lvlText w:val="•"/>
      <w:lvlJc w:val="left"/>
      <w:pPr>
        <w:tabs>
          <w:tab w:val="num" w:pos="2880"/>
        </w:tabs>
        <w:ind w:left="2880" w:hanging="360"/>
      </w:pPr>
      <w:rPr>
        <w:rFonts w:ascii="Arial" w:hAnsi="Arial" w:hint="default"/>
      </w:rPr>
    </w:lvl>
    <w:lvl w:ilvl="4" w:tplc="A8CA010E" w:tentative="1">
      <w:start w:val="1"/>
      <w:numFmt w:val="bullet"/>
      <w:lvlText w:val="•"/>
      <w:lvlJc w:val="left"/>
      <w:pPr>
        <w:tabs>
          <w:tab w:val="num" w:pos="3600"/>
        </w:tabs>
        <w:ind w:left="3600" w:hanging="360"/>
      </w:pPr>
      <w:rPr>
        <w:rFonts w:ascii="Arial" w:hAnsi="Arial" w:hint="default"/>
      </w:rPr>
    </w:lvl>
    <w:lvl w:ilvl="5" w:tplc="DBF49B94" w:tentative="1">
      <w:start w:val="1"/>
      <w:numFmt w:val="bullet"/>
      <w:lvlText w:val="•"/>
      <w:lvlJc w:val="left"/>
      <w:pPr>
        <w:tabs>
          <w:tab w:val="num" w:pos="4320"/>
        </w:tabs>
        <w:ind w:left="4320" w:hanging="360"/>
      </w:pPr>
      <w:rPr>
        <w:rFonts w:ascii="Arial" w:hAnsi="Arial" w:hint="default"/>
      </w:rPr>
    </w:lvl>
    <w:lvl w:ilvl="6" w:tplc="03EA8758" w:tentative="1">
      <w:start w:val="1"/>
      <w:numFmt w:val="bullet"/>
      <w:lvlText w:val="•"/>
      <w:lvlJc w:val="left"/>
      <w:pPr>
        <w:tabs>
          <w:tab w:val="num" w:pos="5040"/>
        </w:tabs>
        <w:ind w:left="5040" w:hanging="360"/>
      </w:pPr>
      <w:rPr>
        <w:rFonts w:ascii="Arial" w:hAnsi="Arial" w:hint="default"/>
      </w:rPr>
    </w:lvl>
    <w:lvl w:ilvl="7" w:tplc="E10E6596" w:tentative="1">
      <w:start w:val="1"/>
      <w:numFmt w:val="bullet"/>
      <w:lvlText w:val="•"/>
      <w:lvlJc w:val="left"/>
      <w:pPr>
        <w:tabs>
          <w:tab w:val="num" w:pos="5760"/>
        </w:tabs>
        <w:ind w:left="5760" w:hanging="360"/>
      </w:pPr>
      <w:rPr>
        <w:rFonts w:ascii="Arial" w:hAnsi="Arial" w:hint="default"/>
      </w:rPr>
    </w:lvl>
    <w:lvl w:ilvl="8" w:tplc="C362110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763C06"/>
    <w:multiLevelType w:val="hybridMultilevel"/>
    <w:tmpl w:val="D714A6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CE5FF7"/>
    <w:multiLevelType w:val="hybridMultilevel"/>
    <w:tmpl w:val="F22ADCDC"/>
    <w:lvl w:ilvl="0" w:tplc="DCC4EC3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332407"/>
    <w:multiLevelType w:val="hybridMultilevel"/>
    <w:tmpl w:val="AB80ED22"/>
    <w:lvl w:ilvl="0" w:tplc="CEF4EC82">
      <w:start w:val="1"/>
      <w:numFmt w:val="decimal"/>
      <w:lvlText w:val="%1."/>
      <w:lvlJc w:val="left"/>
      <w:pPr>
        <w:tabs>
          <w:tab w:val="num" w:pos="720"/>
        </w:tabs>
        <w:ind w:left="720" w:hanging="360"/>
      </w:pPr>
    </w:lvl>
    <w:lvl w:ilvl="1" w:tplc="B6D24318" w:tentative="1">
      <w:start w:val="1"/>
      <w:numFmt w:val="decimal"/>
      <w:lvlText w:val="%2."/>
      <w:lvlJc w:val="left"/>
      <w:pPr>
        <w:tabs>
          <w:tab w:val="num" w:pos="1440"/>
        </w:tabs>
        <w:ind w:left="1440" w:hanging="360"/>
      </w:pPr>
    </w:lvl>
    <w:lvl w:ilvl="2" w:tplc="7C8474AA" w:tentative="1">
      <w:start w:val="1"/>
      <w:numFmt w:val="decimal"/>
      <w:lvlText w:val="%3."/>
      <w:lvlJc w:val="left"/>
      <w:pPr>
        <w:tabs>
          <w:tab w:val="num" w:pos="2160"/>
        </w:tabs>
        <w:ind w:left="2160" w:hanging="360"/>
      </w:pPr>
    </w:lvl>
    <w:lvl w:ilvl="3" w:tplc="1E3E7A60" w:tentative="1">
      <w:start w:val="1"/>
      <w:numFmt w:val="decimal"/>
      <w:lvlText w:val="%4."/>
      <w:lvlJc w:val="left"/>
      <w:pPr>
        <w:tabs>
          <w:tab w:val="num" w:pos="2880"/>
        </w:tabs>
        <w:ind w:left="2880" w:hanging="360"/>
      </w:pPr>
    </w:lvl>
    <w:lvl w:ilvl="4" w:tplc="2B944392" w:tentative="1">
      <w:start w:val="1"/>
      <w:numFmt w:val="decimal"/>
      <w:lvlText w:val="%5."/>
      <w:lvlJc w:val="left"/>
      <w:pPr>
        <w:tabs>
          <w:tab w:val="num" w:pos="3600"/>
        </w:tabs>
        <w:ind w:left="3600" w:hanging="360"/>
      </w:pPr>
    </w:lvl>
    <w:lvl w:ilvl="5" w:tplc="9692CF72" w:tentative="1">
      <w:start w:val="1"/>
      <w:numFmt w:val="decimal"/>
      <w:lvlText w:val="%6."/>
      <w:lvlJc w:val="left"/>
      <w:pPr>
        <w:tabs>
          <w:tab w:val="num" w:pos="4320"/>
        </w:tabs>
        <w:ind w:left="4320" w:hanging="360"/>
      </w:pPr>
    </w:lvl>
    <w:lvl w:ilvl="6" w:tplc="FD2043D6" w:tentative="1">
      <w:start w:val="1"/>
      <w:numFmt w:val="decimal"/>
      <w:lvlText w:val="%7."/>
      <w:lvlJc w:val="left"/>
      <w:pPr>
        <w:tabs>
          <w:tab w:val="num" w:pos="5040"/>
        </w:tabs>
        <w:ind w:left="5040" w:hanging="360"/>
      </w:pPr>
    </w:lvl>
    <w:lvl w:ilvl="7" w:tplc="FEFA3F7C" w:tentative="1">
      <w:start w:val="1"/>
      <w:numFmt w:val="decimal"/>
      <w:lvlText w:val="%8."/>
      <w:lvlJc w:val="left"/>
      <w:pPr>
        <w:tabs>
          <w:tab w:val="num" w:pos="5760"/>
        </w:tabs>
        <w:ind w:left="5760" w:hanging="360"/>
      </w:pPr>
    </w:lvl>
    <w:lvl w:ilvl="8" w:tplc="C2B87E16" w:tentative="1">
      <w:start w:val="1"/>
      <w:numFmt w:val="decimal"/>
      <w:lvlText w:val="%9."/>
      <w:lvlJc w:val="left"/>
      <w:pPr>
        <w:tabs>
          <w:tab w:val="num" w:pos="6480"/>
        </w:tabs>
        <w:ind w:left="6480" w:hanging="360"/>
      </w:pPr>
    </w:lvl>
  </w:abstractNum>
  <w:abstractNum w:abstractNumId="11" w15:restartNumberingAfterBreak="0">
    <w:nsid w:val="2ED60C66"/>
    <w:multiLevelType w:val="hybridMultilevel"/>
    <w:tmpl w:val="88B8A1BC"/>
    <w:lvl w:ilvl="0" w:tplc="3CBC63A0">
      <w:start w:val="1"/>
      <w:numFmt w:val="bullet"/>
      <w:lvlText w:val="•"/>
      <w:lvlJc w:val="left"/>
      <w:pPr>
        <w:tabs>
          <w:tab w:val="num" w:pos="720"/>
        </w:tabs>
        <w:ind w:left="720" w:hanging="360"/>
      </w:pPr>
      <w:rPr>
        <w:rFonts w:ascii="Arial" w:hAnsi="Arial" w:hint="default"/>
      </w:rPr>
    </w:lvl>
    <w:lvl w:ilvl="1" w:tplc="49B4EE7E" w:tentative="1">
      <w:start w:val="1"/>
      <w:numFmt w:val="bullet"/>
      <w:lvlText w:val="•"/>
      <w:lvlJc w:val="left"/>
      <w:pPr>
        <w:tabs>
          <w:tab w:val="num" w:pos="1440"/>
        </w:tabs>
        <w:ind w:left="1440" w:hanging="360"/>
      </w:pPr>
      <w:rPr>
        <w:rFonts w:ascii="Arial" w:hAnsi="Arial" w:hint="default"/>
      </w:rPr>
    </w:lvl>
    <w:lvl w:ilvl="2" w:tplc="136A34E4" w:tentative="1">
      <w:start w:val="1"/>
      <w:numFmt w:val="bullet"/>
      <w:lvlText w:val="•"/>
      <w:lvlJc w:val="left"/>
      <w:pPr>
        <w:tabs>
          <w:tab w:val="num" w:pos="2160"/>
        </w:tabs>
        <w:ind w:left="2160" w:hanging="360"/>
      </w:pPr>
      <w:rPr>
        <w:rFonts w:ascii="Arial" w:hAnsi="Arial" w:hint="default"/>
      </w:rPr>
    </w:lvl>
    <w:lvl w:ilvl="3" w:tplc="8FD8DEFC" w:tentative="1">
      <w:start w:val="1"/>
      <w:numFmt w:val="bullet"/>
      <w:lvlText w:val="•"/>
      <w:lvlJc w:val="left"/>
      <w:pPr>
        <w:tabs>
          <w:tab w:val="num" w:pos="2880"/>
        </w:tabs>
        <w:ind w:left="2880" w:hanging="360"/>
      </w:pPr>
      <w:rPr>
        <w:rFonts w:ascii="Arial" w:hAnsi="Arial" w:hint="default"/>
      </w:rPr>
    </w:lvl>
    <w:lvl w:ilvl="4" w:tplc="FBE07340" w:tentative="1">
      <w:start w:val="1"/>
      <w:numFmt w:val="bullet"/>
      <w:lvlText w:val="•"/>
      <w:lvlJc w:val="left"/>
      <w:pPr>
        <w:tabs>
          <w:tab w:val="num" w:pos="3600"/>
        </w:tabs>
        <w:ind w:left="3600" w:hanging="360"/>
      </w:pPr>
      <w:rPr>
        <w:rFonts w:ascii="Arial" w:hAnsi="Arial" w:hint="default"/>
      </w:rPr>
    </w:lvl>
    <w:lvl w:ilvl="5" w:tplc="F88E07D2" w:tentative="1">
      <w:start w:val="1"/>
      <w:numFmt w:val="bullet"/>
      <w:lvlText w:val="•"/>
      <w:lvlJc w:val="left"/>
      <w:pPr>
        <w:tabs>
          <w:tab w:val="num" w:pos="4320"/>
        </w:tabs>
        <w:ind w:left="4320" w:hanging="360"/>
      </w:pPr>
      <w:rPr>
        <w:rFonts w:ascii="Arial" w:hAnsi="Arial" w:hint="default"/>
      </w:rPr>
    </w:lvl>
    <w:lvl w:ilvl="6" w:tplc="80B0680A" w:tentative="1">
      <w:start w:val="1"/>
      <w:numFmt w:val="bullet"/>
      <w:lvlText w:val="•"/>
      <w:lvlJc w:val="left"/>
      <w:pPr>
        <w:tabs>
          <w:tab w:val="num" w:pos="5040"/>
        </w:tabs>
        <w:ind w:left="5040" w:hanging="360"/>
      </w:pPr>
      <w:rPr>
        <w:rFonts w:ascii="Arial" w:hAnsi="Arial" w:hint="default"/>
      </w:rPr>
    </w:lvl>
    <w:lvl w:ilvl="7" w:tplc="E422B33E" w:tentative="1">
      <w:start w:val="1"/>
      <w:numFmt w:val="bullet"/>
      <w:lvlText w:val="•"/>
      <w:lvlJc w:val="left"/>
      <w:pPr>
        <w:tabs>
          <w:tab w:val="num" w:pos="5760"/>
        </w:tabs>
        <w:ind w:left="5760" w:hanging="360"/>
      </w:pPr>
      <w:rPr>
        <w:rFonts w:ascii="Arial" w:hAnsi="Arial" w:hint="default"/>
      </w:rPr>
    </w:lvl>
    <w:lvl w:ilvl="8" w:tplc="F98C1D2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6B866D3"/>
    <w:multiLevelType w:val="hybridMultilevel"/>
    <w:tmpl w:val="E71CB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11CD9"/>
    <w:multiLevelType w:val="hybridMultilevel"/>
    <w:tmpl w:val="E30AA172"/>
    <w:lvl w:ilvl="0" w:tplc="04090001">
      <w:start w:val="1"/>
      <w:numFmt w:val="bullet"/>
      <w:lvlText w:val=""/>
      <w:lvlJc w:val="left"/>
      <w:pPr>
        <w:tabs>
          <w:tab w:val="num" w:pos="720"/>
        </w:tabs>
        <w:ind w:left="720" w:hanging="360"/>
      </w:pPr>
      <w:rPr>
        <w:rFonts w:ascii="Symbol" w:hAnsi="Symbol" w:hint="default"/>
      </w:rPr>
    </w:lvl>
    <w:lvl w:ilvl="1" w:tplc="B6D24318" w:tentative="1">
      <w:start w:val="1"/>
      <w:numFmt w:val="decimal"/>
      <w:lvlText w:val="%2."/>
      <w:lvlJc w:val="left"/>
      <w:pPr>
        <w:tabs>
          <w:tab w:val="num" w:pos="1440"/>
        </w:tabs>
        <w:ind w:left="1440" w:hanging="360"/>
      </w:pPr>
    </w:lvl>
    <w:lvl w:ilvl="2" w:tplc="7C8474AA" w:tentative="1">
      <w:start w:val="1"/>
      <w:numFmt w:val="decimal"/>
      <w:lvlText w:val="%3."/>
      <w:lvlJc w:val="left"/>
      <w:pPr>
        <w:tabs>
          <w:tab w:val="num" w:pos="2160"/>
        </w:tabs>
        <w:ind w:left="2160" w:hanging="360"/>
      </w:pPr>
    </w:lvl>
    <w:lvl w:ilvl="3" w:tplc="1E3E7A60" w:tentative="1">
      <w:start w:val="1"/>
      <w:numFmt w:val="decimal"/>
      <w:lvlText w:val="%4."/>
      <w:lvlJc w:val="left"/>
      <w:pPr>
        <w:tabs>
          <w:tab w:val="num" w:pos="2880"/>
        </w:tabs>
        <w:ind w:left="2880" w:hanging="360"/>
      </w:pPr>
    </w:lvl>
    <w:lvl w:ilvl="4" w:tplc="2B944392" w:tentative="1">
      <w:start w:val="1"/>
      <w:numFmt w:val="decimal"/>
      <w:lvlText w:val="%5."/>
      <w:lvlJc w:val="left"/>
      <w:pPr>
        <w:tabs>
          <w:tab w:val="num" w:pos="3600"/>
        </w:tabs>
        <w:ind w:left="3600" w:hanging="360"/>
      </w:pPr>
    </w:lvl>
    <w:lvl w:ilvl="5" w:tplc="9692CF72" w:tentative="1">
      <w:start w:val="1"/>
      <w:numFmt w:val="decimal"/>
      <w:lvlText w:val="%6."/>
      <w:lvlJc w:val="left"/>
      <w:pPr>
        <w:tabs>
          <w:tab w:val="num" w:pos="4320"/>
        </w:tabs>
        <w:ind w:left="4320" w:hanging="360"/>
      </w:pPr>
    </w:lvl>
    <w:lvl w:ilvl="6" w:tplc="FD2043D6" w:tentative="1">
      <w:start w:val="1"/>
      <w:numFmt w:val="decimal"/>
      <w:lvlText w:val="%7."/>
      <w:lvlJc w:val="left"/>
      <w:pPr>
        <w:tabs>
          <w:tab w:val="num" w:pos="5040"/>
        </w:tabs>
        <w:ind w:left="5040" w:hanging="360"/>
      </w:pPr>
    </w:lvl>
    <w:lvl w:ilvl="7" w:tplc="FEFA3F7C" w:tentative="1">
      <w:start w:val="1"/>
      <w:numFmt w:val="decimal"/>
      <w:lvlText w:val="%8."/>
      <w:lvlJc w:val="left"/>
      <w:pPr>
        <w:tabs>
          <w:tab w:val="num" w:pos="5760"/>
        </w:tabs>
        <w:ind w:left="5760" w:hanging="360"/>
      </w:pPr>
    </w:lvl>
    <w:lvl w:ilvl="8" w:tplc="C2B87E16" w:tentative="1">
      <w:start w:val="1"/>
      <w:numFmt w:val="decimal"/>
      <w:lvlText w:val="%9."/>
      <w:lvlJc w:val="left"/>
      <w:pPr>
        <w:tabs>
          <w:tab w:val="num" w:pos="6480"/>
        </w:tabs>
        <w:ind w:left="6480" w:hanging="360"/>
      </w:pPr>
    </w:lvl>
  </w:abstractNum>
  <w:abstractNum w:abstractNumId="14" w15:restartNumberingAfterBreak="0">
    <w:nsid w:val="3B2536A6"/>
    <w:multiLevelType w:val="hybridMultilevel"/>
    <w:tmpl w:val="63645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F2B95"/>
    <w:multiLevelType w:val="hybridMultilevel"/>
    <w:tmpl w:val="5DEC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48627E"/>
    <w:multiLevelType w:val="hybridMultilevel"/>
    <w:tmpl w:val="AC305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3C085D"/>
    <w:multiLevelType w:val="hybridMultilevel"/>
    <w:tmpl w:val="006223AE"/>
    <w:lvl w:ilvl="0" w:tplc="3CF84366">
      <w:start w:val="1"/>
      <w:numFmt w:val="bullet"/>
      <w:lvlText w:val="•"/>
      <w:lvlJc w:val="left"/>
      <w:pPr>
        <w:tabs>
          <w:tab w:val="num" w:pos="720"/>
        </w:tabs>
        <w:ind w:left="720" w:hanging="360"/>
      </w:pPr>
      <w:rPr>
        <w:rFonts w:ascii="Arial" w:hAnsi="Arial" w:hint="default"/>
      </w:rPr>
    </w:lvl>
    <w:lvl w:ilvl="1" w:tplc="245A17A8" w:tentative="1">
      <w:start w:val="1"/>
      <w:numFmt w:val="bullet"/>
      <w:lvlText w:val="•"/>
      <w:lvlJc w:val="left"/>
      <w:pPr>
        <w:tabs>
          <w:tab w:val="num" w:pos="1440"/>
        </w:tabs>
        <w:ind w:left="1440" w:hanging="360"/>
      </w:pPr>
      <w:rPr>
        <w:rFonts w:ascii="Arial" w:hAnsi="Arial" w:hint="default"/>
      </w:rPr>
    </w:lvl>
    <w:lvl w:ilvl="2" w:tplc="DF402228" w:tentative="1">
      <w:start w:val="1"/>
      <w:numFmt w:val="bullet"/>
      <w:lvlText w:val="•"/>
      <w:lvlJc w:val="left"/>
      <w:pPr>
        <w:tabs>
          <w:tab w:val="num" w:pos="2160"/>
        </w:tabs>
        <w:ind w:left="2160" w:hanging="360"/>
      </w:pPr>
      <w:rPr>
        <w:rFonts w:ascii="Arial" w:hAnsi="Arial" w:hint="default"/>
      </w:rPr>
    </w:lvl>
    <w:lvl w:ilvl="3" w:tplc="9A66E080" w:tentative="1">
      <w:start w:val="1"/>
      <w:numFmt w:val="bullet"/>
      <w:lvlText w:val="•"/>
      <w:lvlJc w:val="left"/>
      <w:pPr>
        <w:tabs>
          <w:tab w:val="num" w:pos="2880"/>
        </w:tabs>
        <w:ind w:left="2880" w:hanging="360"/>
      </w:pPr>
      <w:rPr>
        <w:rFonts w:ascii="Arial" w:hAnsi="Arial" w:hint="default"/>
      </w:rPr>
    </w:lvl>
    <w:lvl w:ilvl="4" w:tplc="25325968" w:tentative="1">
      <w:start w:val="1"/>
      <w:numFmt w:val="bullet"/>
      <w:lvlText w:val="•"/>
      <w:lvlJc w:val="left"/>
      <w:pPr>
        <w:tabs>
          <w:tab w:val="num" w:pos="3600"/>
        </w:tabs>
        <w:ind w:left="3600" w:hanging="360"/>
      </w:pPr>
      <w:rPr>
        <w:rFonts w:ascii="Arial" w:hAnsi="Arial" w:hint="default"/>
      </w:rPr>
    </w:lvl>
    <w:lvl w:ilvl="5" w:tplc="46049C46" w:tentative="1">
      <w:start w:val="1"/>
      <w:numFmt w:val="bullet"/>
      <w:lvlText w:val="•"/>
      <w:lvlJc w:val="left"/>
      <w:pPr>
        <w:tabs>
          <w:tab w:val="num" w:pos="4320"/>
        </w:tabs>
        <w:ind w:left="4320" w:hanging="360"/>
      </w:pPr>
      <w:rPr>
        <w:rFonts w:ascii="Arial" w:hAnsi="Arial" w:hint="default"/>
      </w:rPr>
    </w:lvl>
    <w:lvl w:ilvl="6" w:tplc="BBB0D750" w:tentative="1">
      <w:start w:val="1"/>
      <w:numFmt w:val="bullet"/>
      <w:lvlText w:val="•"/>
      <w:lvlJc w:val="left"/>
      <w:pPr>
        <w:tabs>
          <w:tab w:val="num" w:pos="5040"/>
        </w:tabs>
        <w:ind w:left="5040" w:hanging="360"/>
      </w:pPr>
      <w:rPr>
        <w:rFonts w:ascii="Arial" w:hAnsi="Arial" w:hint="default"/>
      </w:rPr>
    </w:lvl>
    <w:lvl w:ilvl="7" w:tplc="9E6C4622" w:tentative="1">
      <w:start w:val="1"/>
      <w:numFmt w:val="bullet"/>
      <w:lvlText w:val="•"/>
      <w:lvlJc w:val="left"/>
      <w:pPr>
        <w:tabs>
          <w:tab w:val="num" w:pos="5760"/>
        </w:tabs>
        <w:ind w:left="5760" w:hanging="360"/>
      </w:pPr>
      <w:rPr>
        <w:rFonts w:ascii="Arial" w:hAnsi="Arial" w:hint="default"/>
      </w:rPr>
    </w:lvl>
    <w:lvl w:ilvl="8" w:tplc="E89AFF6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DCD2E1C"/>
    <w:multiLevelType w:val="hybridMultilevel"/>
    <w:tmpl w:val="68088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34883"/>
    <w:multiLevelType w:val="hybridMultilevel"/>
    <w:tmpl w:val="0D2CBBB0"/>
    <w:lvl w:ilvl="0" w:tplc="04090019">
      <w:start w:val="7"/>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12044888">
    <w:abstractNumId w:val="19"/>
  </w:num>
  <w:num w:numId="2" w16cid:durableId="117068125">
    <w:abstractNumId w:val="9"/>
  </w:num>
  <w:num w:numId="3" w16cid:durableId="1360281561">
    <w:abstractNumId w:val="17"/>
  </w:num>
  <w:num w:numId="4" w16cid:durableId="1650596270">
    <w:abstractNumId w:val="7"/>
  </w:num>
  <w:num w:numId="5" w16cid:durableId="1260790560">
    <w:abstractNumId w:val="3"/>
  </w:num>
  <w:num w:numId="6" w16cid:durableId="882597738">
    <w:abstractNumId w:val="2"/>
  </w:num>
  <w:num w:numId="7" w16cid:durableId="834608997">
    <w:abstractNumId w:val="10"/>
  </w:num>
  <w:num w:numId="8" w16cid:durableId="544869877">
    <w:abstractNumId w:val="13"/>
  </w:num>
  <w:num w:numId="9" w16cid:durableId="144245465">
    <w:abstractNumId w:val="18"/>
  </w:num>
  <w:num w:numId="10" w16cid:durableId="975988794">
    <w:abstractNumId w:val="8"/>
  </w:num>
  <w:num w:numId="11" w16cid:durableId="67920124">
    <w:abstractNumId w:val="5"/>
  </w:num>
  <w:num w:numId="12" w16cid:durableId="655108984">
    <w:abstractNumId w:val="12"/>
  </w:num>
  <w:num w:numId="13" w16cid:durableId="1666742414">
    <w:abstractNumId w:val="0"/>
  </w:num>
  <w:num w:numId="14" w16cid:durableId="709573175">
    <w:abstractNumId w:val="11"/>
  </w:num>
  <w:num w:numId="15" w16cid:durableId="1433814545">
    <w:abstractNumId w:val="14"/>
  </w:num>
  <w:num w:numId="16" w16cid:durableId="337511167">
    <w:abstractNumId w:val="4"/>
  </w:num>
  <w:num w:numId="17" w16cid:durableId="1052847193">
    <w:abstractNumId w:val="1"/>
  </w:num>
  <w:num w:numId="18" w16cid:durableId="1739286158">
    <w:abstractNumId w:val="6"/>
  </w:num>
  <w:num w:numId="19" w16cid:durableId="1631278681">
    <w:abstractNumId w:val="16"/>
  </w:num>
  <w:num w:numId="20" w16cid:durableId="1413965095">
    <w:abstractNumId w:val="1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1sbA0MjI2tzCzMDBU0lEKTi0uzszPAykwMq8FADaHaFstAAAA"/>
  </w:docVars>
  <w:rsids>
    <w:rsidRoot w:val="00C75E29"/>
    <w:rsid w:val="00005424"/>
    <w:rsid w:val="00010668"/>
    <w:rsid w:val="00023B53"/>
    <w:rsid w:val="000332E6"/>
    <w:rsid w:val="00047389"/>
    <w:rsid w:val="000507FF"/>
    <w:rsid w:val="000513B7"/>
    <w:rsid w:val="000601AE"/>
    <w:rsid w:val="00070EDF"/>
    <w:rsid w:val="000747E8"/>
    <w:rsid w:val="00076EC4"/>
    <w:rsid w:val="000815C9"/>
    <w:rsid w:val="000A4207"/>
    <w:rsid w:val="000B127B"/>
    <w:rsid w:val="000C3A0C"/>
    <w:rsid w:val="000C5223"/>
    <w:rsid w:val="000C640C"/>
    <w:rsid w:val="000D3F30"/>
    <w:rsid w:val="000F194A"/>
    <w:rsid w:val="00115C82"/>
    <w:rsid w:val="001219E8"/>
    <w:rsid w:val="00141C2D"/>
    <w:rsid w:val="00152E6F"/>
    <w:rsid w:val="00155AAF"/>
    <w:rsid w:val="00157605"/>
    <w:rsid w:val="00172549"/>
    <w:rsid w:val="0019138A"/>
    <w:rsid w:val="001A0CD2"/>
    <w:rsid w:val="001A2D65"/>
    <w:rsid w:val="001A4F9A"/>
    <w:rsid w:val="001B2DD1"/>
    <w:rsid w:val="001C0060"/>
    <w:rsid w:val="001C1094"/>
    <w:rsid w:val="001C2437"/>
    <w:rsid w:val="001D6605"/>
    <w:rsid w:val="001D67F7"/>
    <w:rsid w:val="001F5CE1"/>
    <w:rsid w:val="001F6241"/>
    <w:rsid w:val="00200C2D"/>
    <w:rsid w:val="002148EB"/>
    <w:rsid w:val="00215A40"/>
    <w:rsid w:val="002263D5"/>
    <w:rsid w:val="002354A8"/>
    <w:rsid w:val="00237330"/>
    <w:rsid w:val="00240DB5"/>
    <w:rsid w:val="00241E82"/>
    <w:rsid w:val="002428BB"/>
    <w:rsid w:val="00246D84"/>
    <w:rsid w:val="00257D0A"/>
    <w:rsid w:val="002631AF"/>
    <w:rsid w:val="00272C2B"/>
    <w:rsid w:val="00275B51"/>
    <w:rsid w:val="00284E08"/>
    <w:rsid w:val="0029291A"/>
    <w:rsid w:val="002A5395"/>
    <w:rsid w:val="002A6B10"/>
    <w:rsid w:val="002C139C"/>
    <w:rsid w:val="002C4D29"/>
    <w:rsid w:val="002E0B9D"/>
    <w:rsid w:val="002E68A4"/>
    <w:rsid w:val="002E77C9"/>
    <w:rsid w:val="003056D0"/>
    <w:rsid w:val="00323288"/>
    <w:rsid w:val="003251B3"/>
    <w:rsid w:val="00332925"/>
    <w:rsid w:val="00333C8A"/>
    <w:rsid w:val="003368F0"/>
    <w:rsid w:val="00341A13"/>
    <w:rsid w:val="0036335D"/>
    <w:rsid w:val="00375C66"/>
    <w:rsid w:val="0037666B"/>
    <w:rsid w:val="00380CC9"/>
    <w:rsid w:val="0038365D"/>
    <w:rsid w:val="0038435C"/>
    <w:rsid w:val="0038709C"/>
    <w:rsid w:val="00391C34"/>
    <w:rsid w:val="00396A2C"/>
    <w:rsid w:val="003A3033"/>
    <w:rsid w:val="003B408E"/>
    <w:rsid w:val="003B4A15"/>
    <w:rsid w:val="003C70F9"/>
    <w:rsid w:val="003E5A33"/>
    <w:rsid w:val="003E7820"/>
    <w:rsid w:val="003F1E35"/>
    <w:rsid w:val="00406043"/>
    <w:rsid w:val="004152C3"/>
    <w:rsid w:val="00416C2E"/>
    <w:rsid w:val="0042055D"/>
    <w:rsid w:val="0043392A"/>
    <w:rsid w:val="00440C17"/>
    <w:rsid w:val="0044486C"/>
    <w:rsid w:val="00457D8B"/>
    <w:rsid w:val="00481530"/>
    <w:rsid w:val="004852E6"/>
    <w:rsid w:val="00486888"/>
    <w:rsid w:val="00491085"/>
    <w:rsid w:val="00492C06"/>
    <w:rsid w:val="00497668"/>
    <w:rsid w:val="004B51B2"/>
    <w:rsid w:val="004B6B01"/>
    <w:rsid w:val="004C4B4B"/>
    <w:rsid w:val="004C5C2A"/>
    <w:rsid w:val="004C7B93"/>
    <w:rsid w:val="004E7D81"/>
    <w:rsid w:val="004F11EB"/>
    <w:rsid w:val="004F7113"/>
    <w:rsid w:val="00511235"/>
    <w:rsid w:val="005128B8"/>
    <w:rsid w:val="005222A7"/>
    <w:rsid w:val="00523916"/>
    <w:rsid w:val="005373B2"/>
    <w:rsid w:val="0054337F"/>
    <w:rsid w:val="00546F00"/>
    <w:rsid w:val="00560197"/>
    <w:rsid w:val="00560B50"/>
    <w:rsid w:val="00560CEC"/>
    <w:rsid w:val="00565CCD"/>
    <w:rsid w:val="005766E5"/>
    <w:rsid w:val="00581442"/>
    <w:rsid w:val="005912B2"/>
    <w:rsid w:val="00592569"/>
    <w:rsid w:val="00593B48"/>
    <w:rsid w:val="005A51CC"/>
    <w:rsid w:val="005C788A"/>
    <w:rsid w:val="005C7DB2"/>
    <w:rsid w:val="005E66B1"/>
    <w:rsid w:val="005E6910"/>
    <w:rsid w:val="00602151"/>
    <w:rsid w:val="00611415"/>
    <w:rsid w:val="00611E1C"/>
    <w:rsid w:val="00612CB2"/>
    <w:rsid w:val="006144BE"/>
    <w:rsid w:val="00654E2B"/>
    <w:rsid w:val="00662A7D"/>
    <w:rsid w:val="006718AD"/>
    <w:rsid w:val="006850F0"/>
    <w:rsid w:val="00690B89"/>
    <w:rsid w:val="006968B8"/>
    <w:rsid w:val="006975D1"/>
    <w:rsid w:val="006A5012"/>
    <w:rsid w:val="006A599A"/>
    <w:rsid w:val="006B232A"/>
    <w:rsid w:val="006C47E2"/>
    <w:rsid w:val="006E0CB7"/>
    <w:rsid w:val="006F1E05"/>
    <w:rsid w:val="00710193"/>
    <w:rsid w:val="00716CFF"/>
    <w:rsid w:val="00720EFF"/>
    <w:rsid w:val="00723B60"/>
    <w:rsid w:val="00741068"/>
    <w:rsid w:val="007569A1"/>
    <w:rsid w:val="007574FF"/>
    <w:rsid w:val="00762007"/>
    <w:rsid w:val="007632A9"/>
    <w:rsid w:val="007649A8"/>
    <w:rsid w:val="00780D2C"/>
    <w:rsid w:val="00782BDD"/>
    <w:rsid w:val="00782CF9"/>
    <w:rsid w:val="0079211F"/>
    <w:rsid w:val="00797206"/>
    <w:rsid w:val="007A145F"/>
    <w:rsid w:val="007A4F18"/>
    <w:rsid w:val="007B3D43"/>
    <w:rsid w:val="007B4EE2"/>
    <w:rsid w:val="007D22FB"/>
    <w:rsid w:val="007D3446"/>
    <w:rsid w:val="007D5FB6"/>
    <w:rsid w:val="007D616F"/>
    <w:rsid w:val="007E077B"/>
    <w:rsid w:val="007E4C88"/>
    <w:rsid w:val="007E57F8"/>
    <w:rsid w:val="007E5DD5"/>
    <w:rsid w:val="007F029D"/>
    <w:rsid w:val="007F5BE7"/>
    <w:rsid w:val="00810EBD"/>
    <w:rsid w:val="00824366"/>
    <w:rsid w:val="008365BC"/>
    <w:rsid w:val="00840127"/>
    <w:rsid w:val="00846D93"/>
    <w:rsid w:val="00855158"/>
    <w:rsid w:val="00896737"/>
    <w:rsid w:val="008969C1"/>
    <w:rsid w:val="00896FD2"/>
    <w:rsid w:val="00897C95"/>
    <w:rsid w:val="008B517D"/>
    <w:rsid w:val="008C3F52"/>
    <w:rsid w:val="008C4A0E"/>
    <w:rsid w:val="008E1323"/>
    <w:rsid w:val="008E3973"/>
    <w:rsid w:val="008E73C9"/>
    <w:rsid w:val="008F18A4"/>
    <w:rsid w:val="008F529A"/>
    <w:rsid w:val="00901AC6"/>
    <w:rsid w:val="00912B96"/>
    <w:rsid w:val="00912BDC"/>
    <w:rsid w:val="009166E2"/>
    <w:rsid w:val="00917F3A"/>
    <w:rsid w:val="00963494"/>
    <w:rsid w:val="00984335"/>
    <w:rsid w:val="00993245"/>
    <w:rsid w:val="00993953"/>
    <w:rsid w:val="009B1E3D"/>
    <w:rsid w:val="009D0BA0"/>
    <w:rsid w:val="009D43C2"/>
    <w:rsid w:val="009D4E11"/>
    <w:rsid w:val="009D6733"/>
    <w:rsid w:val="009E5D0F"/>
    <w:rsid w:val="009F1E8B"/>
    <w:rsid w:val="00A00047"/>
    <w:rsid w:val="00A1635E"/>
    <w:rsid w:val="00A31D5C"/>
    <w:rsid w:val="00A34649"/>
    <w:rsid w:val="00A35844"/>
    <w:rsid w:val="00A35E66"/>
    <w:rsid w:val="00A3673C"/>
    <w:rsid w:val="00A43060"/>
    <w:rsid w:val="00A46AF1"/>
    <w:rsid w:val="00A550A6"/>
    <w:rsid w:val="00A56145"/>
    <w:rsid w:val="00A64E12"/>
    <w:rsid w:val="00A65E98"/>
    <w:rsid w:val="00A87956"/>
    <w:rsid w:val="00A92C83"/>
    <w:rsid w:val="00A95D56"/>
    <w:rsid w:val="00A964C4"/>
    <w:rsid w:val="00AA4DD6"/>
    <w:rsid w:val="00AB0EFB"/>
    <w:rsid w:val="00AB78CB"/>
    <w:rsid w:val="00AC6ADC"/>
    <w:rsid w:val="00AC7925"/>
    <w:rsid w:val="00AD4DCF"/>
    <w:rsid w:val="00AD79EC"/>
    <w:rsid w:val="00AE1FE3"/>
    <w:rsid w:val="00AF75AD"/>
    <w:rsid w:val="00B0206F"/>
    <w:rsid w:val="00B02893"/>
    <w:rsid w:val="00B13C71"/>
    <w:rsid w:val="00B27B37"/>
    <w:rsid w:val="00B30652"/>
    <w:rsid w:val="00B31D56"/>
    <w:rsid w:val="00B326E6"/>
    <w:rsid w:val="00B61BE3"/>
    <w:rsid w:val="00B654FD"/>
    <w:rsid w:val="00B74C8E"/>
    <w:rsid w:val="00BA0EAC"/>
    <w:rsid w:val="00BA2E85"/>
    <w:rsid w:val="00BA4E94"/>
    <w:rsid w:val="00BB2519"/>
    <w:rsid w:val="00BB44DB"/>
    <w:rsid w:val="00BC031E"/>
    <w:rsid w:val="00BC41D9"/>
    <w:rsid w:val="00BC42AF"/>
    <w:rsid w:val="00BC7AF7"/>
    <w:rsid w:val="00BD047F"/>
    <w:rsid w:val="00BD527A"/>
    <w:rsid w:val="00BD7819"/>
    <w:rsid w:val="00BE4CD3"/>
    <w:rsid w:val="00BF21D4"/>
    <w:rsid w:val="00BF408E"/>
    <w:rsid w:val="00C00567"/>
    <w:rsid w:val="00C06622"/>
    <w:rsid w:val="00C16FBC"/>
    <w:rsid w:val="00C20467"/>
    <w:rsid w:val="00C20A45"/>
    <w:rsid w:val="00C2348B"/>
    <w:rsid w:val="00C452AE"/>
    <w:rsid w:val="00C619D2"/>
    <w:rsid w:val="00C6238A"/>
    <w:rsid w:val="00C66468"/>
    <w:rsid w:val="00C72CAD"/>
    <w:rsid w:val="00C72D6C"/>
    <w:rsid w:val="00C75826"/>
    <w:rsid w:val="00C75E29"/>
    <w:rsid w:val="00C768EA"/>
    <w:rsid w:val="00C8130E"/>
    <w:rsid w:val="00C85CE9"/>
    <w:rsid w:val="00C940A0"/>
    <w:rsid w:val="00C9481D"/>
    <w:rsid w:val="00CA5C51"/>
    <w:rsid w:val="00CB0830"/>
    <w:rsid w:val="00CB634F"/>
    <w:rsid w:val="00CC38D8"/>
    <w:rsid w:val="00CD0492"/>
    <w:rsid w:val="00CD4715"/>
    <w:rsid w:val="00CD6FB5"/>
    <w:rsid w:val="00CE36F8"/>
    <w:rsid w:val="00CF59B3"/>
    <w:rsid w:val="00CF6BFF"/>
    <w:rsid w:val="00D126D7"/>
    <w:rsid w:val="00D140C3"/>
    <w:rsid w:val="00D22EE9"/>
    <w:rsid w:val="00D42D6E"/>
    <w:rsid w:val="00D43893"/>
    <w:rsid w:val="00D442B7"/>
    <w:rsid w:val="00D44EDF"/>
    <w:rsid w:val="00D4666F"/>
    <w:rsid w:val="00D51F6E"/>
    <w:rsid w:val="00D51F76"/>
    <w:rsid w:val="00D618A0"/>
    <w:rsid w:val="00D64A26"/>
    <w:rsid w:val="00D90D95"/>
    <w:rsid w:val="00D94D3D"/>
    <w:rsid w:val="00DA045B"/>
    <w:rsid w:val="00DA5E27"/>
    <w:rsid w:val="00DA7A0D"/>
    <w:rsid w:val="00DB1D71"/>
    <w:rsid w:val="00DB28B0"/>
    <w:rsid w:val="00DB51D8"/>
    <w:rsid w:val="00DC5671"/>
    <w:rsid w:val="00DE0C84"/>
    <w:rsid w:val="00DE7FF4"/>
    <w:rsid w:val="00E042D8"/>
    <w:rsid w:val="00E130B9"/>
    <w:rsid w:val="00E13A34"/>
    <w:rsid w:val="00E15294"/>
    <w:rsid w:val="00E23D75"/>
    <w:rsid w:val="00E33723"/>
    <w:rsid w:val="00E4152D"/>
    <w:rsid w:val="00E457E5"/>
    <w:rsid w:val="00E460B2"/>
    <w:rsid w:val="00E533B5"/>
    <w:rsid w:val="00E54152"/>
    <w:rsid w:val="00E702AB"/>
    <w:rsid w:val="00E70970"/>
    <w:rsid w:val="00E7144C"/>
    <w:rsid w:val="00E71DD8"/>
    <w:rsid w:val="00E80D3B"/>
    <w:rsid w:val="00E81DEB"/>
    <w:rsid w:val="00E8359E"/>
    <w:rsid w:val="00E859A2"/>
    <w:rsid w:val="00E930D5"/>
    <w:rsid w:val="00E97B91"/>
    <w:rsid w:val="00EA62FD"/>
    <w:rsid w:val="00EC0F80"/>
    <w:rsid w:val="00EC4A29"/>
    <w:rsid w:val="00EC5CD7"/>
    <w:rsid w:val="00EE009D"/>
    <w:rsid w:val="00EE3D4B"/>
    <w:rsid w:val="00EE6A87"/>
    <w:rsid w:val="00EE7ACC"/>
    <w:rsid w:val="00EF02C1"/>
    <w:rsid w:val="00EF4AAB"/>
    <w:rsid w:val="00EF7247"/>
    <w:rsid w:val="00F0112D"/>
    <w:rsid w:val="00F01553"/>
    <w:rsid w:val="00F02CA1"/>
    <w:rsid w:val="00F12FC7"/>
    <w:rsid w:val="00F21C7C"/>
    <w:rsid w:val="00F23E3D"/>
    <w:rsid w:val="00F27764"/>
    <w:rsid w:val="00F37BE0"/>
    <w:rsid w:val="00F5120B"/>
    <w:rsid w:val="00F53A3C"/>
    <w:rsid w:val="00F60C24"/>
    <w:rsid w:val="00F61363"/>
    <w:rsid w:val="00F7281B"/>
    <w:rsid w:val="00F92423"/>
    <w:rsid w:val="00FA0EBB"/>
    <w:rsid w:val="00FB25C8"/>
    <w:rsid w:val="00FB7CB6"/>
    <w:rsid w:val="00FB7EBE"/>
    <w:rsid w:val="00FC2C7C"/>
    <w:rsid w:val="00FD5277"/>
    <w:rsid w:val="00FE6E09"/>
    <w:rsid w:val="00F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D9F98"/>
  <w15:chartTrackingRefBased/>
  <w15:docId w15:val="{9EB25F31-8373-4430-9DF9-E08F47EE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2C0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75E29"/>
    <w:rPr>
      <w:color w:val="0000FF"/>
      <w:u w:val="single"/>
    </w:rPr>
  </w:style>
  <w:style w:type="paragraph" w:customStyle="1" w:styleId="style2">
    <w:name w:val="style2"/>
    <w:basedOn w:val="Normal"/>
    <w:rsid w:val="00C75E29"/>
    <w:pPr>
      <w:spacing w:before="100" w:beforeAutospacing="1" w:after="100" w:afterAutospacing="1"/>
    </w:pPr>
    <w:rPr>
      <w:sz w:val="18"/>
      <w:szCs w:val="18"/>
    </w:rPr>
  </w:style>
  <w:style w:type="paragraph" w:customStyle="1" w:styleId="style24">
    <w:name w:val="style24"/>
    <w:basedOn w:val="Normal"/>
    <w:rsid w:val="00C75E29"/>
    <w:pPr>
      <w:spacing w:before="100" w:beforeAutospacing="1" w:after="100" w:afterAutospacing="1"/>
    </w:pPr>
    <w:rPr>
      <w:b/>
      <w:bCs/>
      <w:sz w:val="36"/>
      <w:szCs w:val="36"/>
    </w:rPr>
  </w:style>
  <w:style w:type="paragraph" w:customStyle="1" w:styleId="style25">
    <w:name w:val="style25"/>
    <w:basedOn w:val="Normal"/>
    <w:rsid w:val="00C75E29"/>
    <w:pPr>
      <w:spacing w:before="100" w:beforeAutospacing="1" w:after="100" w:afterAutospacing="1"/>
    </w:pPr>
    <w:rPr>
      <w:b/>
      <w:bCs/>
      <w:sz w:val="23"/>
      <w:szCs w:val="23"/>
    </w:rPr>
  </w:style>
  <w:style w:type="paragraph" w:customStyle="1" w:styleId="style27">
    <w:name w:val="style27"/>
    <w:basedOn w:val="Normal"/>
    <w:rsid w:val="00C75E29"/>
    <w:pPr>
      <w:spacing w:before="100" w:beforeAutospacing="1" w:after="100" w:afterAutospacing="1"/>
    </w:pPr>
    <w:rPr>
      <w:b/>
      <w:bCs/>
      <w:i/>
      <w:iCs/>
      <w:sz w:val="20"/>
      <w:szCs w:val="20"/>
    </w:rPr>
  </w:style>
  <w:style w:type="paragraph" w:styleId="NormalWeb">
    <w:name w:val="Normal (Web)"/>
    <w:basedOn w:val="Normal"/>
    <w:uiPriority w:val="99"/>
    <w:rsid w:val="00C75E29"/>
    <w:pPr>
      <w:spacing w:before="100" w:beforeAutospacing="1" w:after="100" w:afterAutospacing="1"/>
    </w:pPr>
  </w:style>
  <w:style w:type="character" w:customStyle="1" w:styleId="style71">
    <w:name w:val="style71"/>
    <w:rsid w:val="00C75E29"/>
    <w:rPr>
      <w:b/>
      <w:bCs/>
      <w:sz w:val="18"/>
      <w:szCs w:val="18"/>
    </w:rPr>
  </w:style>
  <w:style w:type="character" w:customStyle="1" w:styleId="style21">
    <w:name w:val="style21"/>
    <w:rsid w:val="00C75E29"/>
    <w:rPr>
      <w:sz w:val="18"/>
      <w:szCs w:val="18"/>
    </w:rPr>
  </w:style>
  <w:style w:type="character" w:styleId="Emphasis">
    <w:name w:val="Emphasis"/>
    <w:qFormat/>
    <w:rsid w:val="00C75E29"/>
    <w:rPr>
      <w:i/>
      <w:iCs/>
    </w:rPr>
  </w:style>
  <w:style w:type="character" w:styleId="Strong">
    <w:name w:val="Strong"/>
    <w:qFormat/>
    <w:rsid w:val="00C75E29"/>
    <w:rPr>
      <w:b/>
      <w:bCs/>
    </w:rPr>
  </w:style>
  <w:style w:type="character" w:styleId="CommentReference">
    <w:name w:val="annotation reference"/>
    <w:semiHidden/>
    <w:rsid w:val="005C788A"/>
    <w:rPr>
      <w:sz w:val="16"/>
      <w:szCs w:val="16"/>
    </w:rPr>
  </w:style>
  <w:style w:type="paragraph" w:styleId="CommentText">
    <w:name w:val="annotation text"/>
    <w:basedOn w:val="Normal"/>
    <w:semiHidden/>
    <w:rsid w:val="005C788A"/>
    <w:rPr>
      <w:sz w:val="20"/>
      <w:szCs w:val="20"/>
    </w:rPr>
  </w:style>
  <w:style w:type="paragraph" w:styleId="CommentSubject">
    <w:name w:val="annotation subject"/>
    <w:basedOn w:val="CommentText"/>
    <w:next w:val="CommentText"/>
    <w:semiHidden/>
    <w:rsid w:val="005C788A"/>
    <w:rPr>
      <w:b/>
      <w:bCs/>
    </w:rPr>
  </w:style>
  <w:style w:type="paragraph" w:styleId="BalloonText">
    <w:name w:val="Balloon Text"/>
    <w:basedOn w:val="Normal"/>
    <w:semiHidden/>
    <w:rsid w:val="005C788A"/>
    <w:rPr>
      <w:rFonts w:ascii="Tahoma" w:hAnsi="Tahoma" w:cs="Tahoma"/>
      <w:sz w:val="16"/>
      <w:szCs w:val="16"/>
    </w:rPr>
  </w:style>
  <w:style w:type="paragraph" w:styleId="ListParagraph">
    <w:name w:val="List Paragraph"/>
    <w:basedOn w:val="Normal"/>
    <w:uiPriority w:val="34"/>
    <w:qFormat/>
    <w:rsid w:val="000C3A0C"/>
    <w:pPr>
      <w:ind w:left="720"/>
      <w:contextualSpacing/>
    </w:pPr>
  </w:style>
  <w:style w:type="paragraph" w:styleId="Header">
    <w:name w:val="header"/>
    <w:basedOn w:val="Normal"/>
    <w:link w:val="HeaderChar"/>
    <w:rsid w:val="0043392A"/>
    <w:pPr>
      <w:tabs>
        <w:tab w:val="center" w:pos="4680"/>
        <w:tab w:val="right" w:pos="9360"/>
      </w:tabs>
    </w:pPr>
  </w:style>
  <w:style w:type="character" w:customStyle="1" w:styleId="HeaderChar">
    <w:name w:val="Header Char"/>
    <w:basedOn w:val="DefaultParagraphFont"/>
    <w:link w:val="Header"/>
    <w:rsid w:val="0043392A"/>
    <w:rPr>
      <w:sz w:val="24"/>
      <w:szCs w:val="24"/>
    </w:rPr>
  </w:style>
  <w:style w:type="paragraph" w:styleId="Footer">
    <w:name w:val="footer"/>
    <w:basedOn w:val="Normal"/>
    <w:link w:val="FooterChar"/>
    <w:rsid w:val="0043392A"/>
    <w:pPr>
      <w:tabs>
        <w:tab w:val="center" w:pos="4680"/>
        <w:tab w:val="right" w:pos="9360"/>
      </w:tabs>
    </w:pPr>
  </w:style>
  <w:style w:type="character" w:customStyle="1" w:styleId="FooterChar">
    <w:name w:val="Footer Char"/>
    <w:basedOn w:val="DefaultParagraphFont"/>
    <w:link w:val="Footer"/>
    <w:rsid w:val="0043392A"/>
    <w:rPr>
      <w:sz w:val="24"/>
      <w:szCs w:val="24"/>
    </w:rPr>
  </w:style>
  <w:style w:type="character" w:styleId="UnresolvedMention">
    <w:name w:val="Unresolved Mention"/>
    <w:basedOn w:val="DefaultParagraphFont"/>
    <w:uiPriority w:val="99"/>
    <w:semiHidden/>
    <w:unhideWhenUsed/>
    <w:rsid w:val="00CD4715"/>
    <w:rPr>
      <w:color w:val="605E5C"/>
      <w:shd w:val="clear" w:color="auto" w:fill="E1DFDD"/>
    </w:rPr>
  </w:style>
  <w:style w:type="table" w:styleId="TableGrid">
    <w:name w:val="Table Grid"/>
    <w:basedOn w:val="TableNormal"/>
    <w:uiPriority w:val="39"/>
    <w:rsid w:val="00F53A3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047F"/>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61452949">
      <w:bodyDiv w:val="1"/>
      <w:marLeft w:val="0"/>
      <w:marRight w:val="0"/>
      <w:marTop w:val="0"/>
      <w:marBottom w:val="0"/>
      <w:divBdr>
        <w:top w:val="none" w:sz="0" w:space="0" w:color="auto"/>
        <w:left w:val="none" w:sz="0" w:space="0" w:color="auto"/>
        <w:bottom w:val="none" w:sz="0" w:space="0" w:color="auto"/>
        <w:right w:val="none" w:sz="0" w:space="0" w:color="auto"/>
      </w:divBdr>
      <w:divsChild>
        <w:div w:id="627395026">
          <w:marLeft w:val="1166"/>
          <w:marRight w:val="0"/>
          <w:marTop w:val="115"/>
          <w:marBottom w:val="0"/>
          <w:divBdr>
            <w:top w:val="none" w:sz="0" w:space="0" w:color="auto"/>
            <w:left w:val="none" w:sz="0" w:space="0" w:color="auto"/>
            <w:bottom w:val="none" w:sz="0" w:space="0" w:color="auto"/>
            <w:right w:val="none" w:sz="0" w:space="0" w:color="auto"/>
          </w:divBdr>
        </w:div>
      </w:divsChild>
    </w:div>
    <w:div w:id="609967737">
      <w:bodyDiv w:val="1"/>
      <w:marLeft w:val="0"/>
      <w:marRight w:val="0"/>
      <w:marTop w:val="0"/>
      <w:marBottom w:val="0"/>
      <w:divBdr>
        <w:top w:val="none" w:sz="0" w:space="0" w:color="auto"/>
        <w:left w:val="none" w:sz="0" w:space="0" w:color="auto"/>
        <w:bottom w:val="none" w:sz="0" w:space="0" w:color="auto"/>
        <w:right w:val="none" w:sz="0" w:space="0" w:color="auto"/>
      </w:divBdr>
      <w:divsChild>
        <w:div w:id="859666090">
          <w:marLeft w:val="446"/>
          <w:marRight w:val="0"/>
          <w:marTop w:val="0"/>
          <w:marBottom w:val="0"/>
          <w:divBdr>
            <w:top w:val="none" w:sz="0" w:space="0" w:color="auto"/>
            <w:left w:val="none" w:sz="0" w:space="0" w:color="auto"/>
            <w:bottom w:val="none" w:sz="0" w:space="0" w:color="auto"/>
            <w:right w:val="none" w:sz="0" w:space="0" w:color="auto"/>
          </w:divBdr>
        </w:div>
        <w:div w:id="1783916184">
          <w:marLeft w:val="446"/>
          <w:marRight w:val="0"/>
          <w:marTop w:val="0"/>
          <w:marBottom w:val="0"/>
          <w:divBdr>
            <w:top w:val="none" w:sz="0" w:space="0" w:color="auto"/>
            <w:left w:val="none" w:sz="0" w:space="0" w:color="auto"/>
            <w:bottom w:val="none" w:sz="0" w:space="0" w:color="auto"/>
            <w:right w:val="none" w:sz="0" w:space="0" w:color="auto"/>
          </w:divBdr>
        </w:div>
        <w:div w:id="450245085">
          <w:marLeft w:val="446"/>
          <w:marRight w:val="0"/>
          <w:marTop w:val="0"/>
          <w:marBottom w:val="0"/>
          <w:divBdr>
            <w:top w:val="none" w:sz="0" w:space="0" w:color="auto"/>
            <w:left w:val="none" w:sz="0" w:space="0" w:color="auto"/>
            <w:bottom w:val="none" w:sz="0" w:space="0" w:color="auto"/>
            <w:right w:val="none" w:sz="0" w:space="0" w:color="auto"/>
          </w:divBdr>
        </w:div>
        <w:div w:id="469712316">
          <w:marLeft w:val="446"/>
          <w:marRight w:val="0"/>
          <w:marTop w:val="0"/>
          <w:marBottom w:val="0"/>
          <w:divBdr>
            <w:top w:val="none" w:sz="0" w:space="0" w:color="auto"/>
            <w:left w:val="none" w:sz="0" w:space="0" w:color="auto"/>
            <w:bottom w:val="none" w:sz="0" w:space="0" w:color="auto"/>
            <w:right w:val="none" w:sz="0" w:space="0" w:color="auto"/>
          </w:divBdr>
        </w:div>
        <w:div w:id="2138910080">
          <w:marLeft w:val="446"/>
          <w:marRight w:val="0"/>
          <w:marTop w:val="0"/>
          <w:marBottom w:val="0"/>
          <w:divBdr>
            <w:top w:val="none" w:sz="0" w:space="0" w:color="auto"/>
            <w:left w:val="none" w:sz="0" w:space="0" w:color="auto"/>
            <w:bottom w:val="none" w:sz="0" w:space="0" w:color="auto"/>
            <w:right w:val="none" w:sz="0" w:space="0" w:color="auto"/>
          </w:divBdr>
        </w:div>
      </w:divsChild>
    </w:div>
    <w:div w:id="766464871">
      <w:bodyDiv w:val="1"/>
      <w:marLeft w:val="0"/>
      <w:marRight w:val="0"/>
      <w:marTop w:val="0"/>
      <w:marBottom w:val="0"/>
      <w:divBdr>
        <w:top w:val="none" w:sz="0" w:space="0" w:color="auto"/>
        <w:left w:val="none" w:sz="0" w:space="0" w:color="auto"/>
        <w:bottom w:val="none" w:sz="0" w:space="0" w:color="auto"/>
        <w:right w:val="none" w:sz="0" w:space="0" w:color="auto"/>
      </w:divBdr>
      <w:divsChild>
        <w:div w:id="495262990">
          <w:marLeft w:val="547"/>
          <w:marRight w:val="0"/>
          <w:marTop w:val="106"/>
          <w:marBottom w:val="0"/>
          <w:divBdr>
            <w:top w:val="none" w:sz="0" w:space="0" w:color="auto"/>
            <w:left w:val="none" w:sz="0" w:space="0" w:color="auto"/>
            <w:bottom w:val="none" w:sz="0" w:space="0" w:color="auto"/>
            <w:right w:val="none" w:sz="0" w:space="0" w:color="auto"/>
          </w:divBdr>
        </w:div>
      </w:divsChild>
    </w:div>
    <w:div w:id="1248147605">
      <w:bodyDiv w:val="1"/>
      <w:marLeft w:val="0"/>
      <w:marRight w:val="0"/>
      <w:marTop w:val="0"/>
      <w:marBottom w:val="0"/>
      <w:divBdr>
        <w:top w:val="none" w:sz="0" w:space="0" w:color="auto"/>
        <w:left w:val="none" w:sz="0" w:space="0" w:color="auto"/>
        <w:bottom w:val="none" w:sz="0" w:space="0" w:color="auto"/>
        <w:right w:val="none" w:sz="0" w:space="0" w:color="auto"/>
      </w:divBdr>
      <w:divsChild>
        <w:div w:id="1335259076">
          <w:marLeft w:val="547"/>
          <w:marRight w:val="0"/>
          <w:marTop w:val="106"/>
          <w:marBottom w:val="0"/>
          <w:divBdr>
            <w:top w:val="none" w:sz="0" w:space="0" w:color="auto"/>
            <w:left w:val="none" w:sz="0" w:space="0" w:color="auto"/>
            <w:bottom w:val="none" w:sz="0" w:space="0" w:color="auto"/>
            <w:right w:val="none" w:sz="0" w:space="0" w:color="auto"/>
          </w:divBdr>
        </w:div>
      </w:divsChild>
    </w:div>
    <w:div w:id="1334406848">
      <w:bodyDiv w:val="1"/>
      <w:marLeft w:val="0"/>
      <w:marRight w:val="0"/>
      <w:marTop w:val="0"/>
      <w:marBottom w:val="0"/>
      <w:divBdr>
        <w:top w:val="none" w:sz="0" w:space="0" w:color="auto"/>
        <w:left w:val="none" w:sz="0" w:space="0" w:color="auto"/>
        <w:bottom w:val="none" w:sz="0" w:space="0" w:color="auto"/>
        <w:right w:val="none" w:sz="0" w:space="0" w:color="auto"/>
      </w:divBdr>
      <w:divsChild>
        <w:div w:id="1156579447">
          <w:marLeft w:val="1166"/>
          <w:marRight w:val="0"/>
          <w:marTop w:val="115"/>
          <w:marBottom w:val="0"/>
          <w:divBdr>
            <w:top w:val="none" w:sz="0" w:space="0" w:color="auto"/>
            <w:left w:val="none" w:sz="0" w:space="0" w:color="auto"/>
            <w:bottom w:val="none" w:sz="0" w:space="0" w:color="auto"/>
            <w:right w:val="none" w:sz="0" w:space="0" w:color="auto"/>
          </w:divBdr>
        </w:div>
      </w:divsChild>
    </w:div>
    <w:div w:id="1778214939">
      <w:bodyDiv w:val="1"/>
      <w:marLeft w:val="0"/>
      <w:marRight w:val="0"/>
      <w:marTop w:val="0"/>
      <w:marBottom w:val="0"/>
      <w:divBdr>
        <w:top w:val="none" w:sz="0" w:space="0" w:color="auto"/>
        <w:left w:val="none" w:sz="0" w:space="0" w:color="auto"/>
        <w:bottom w:val="none" w:sz="0" w:space="0" w:color="auto"/>
        <w:right w:val="none" w:sz="0" w:space="0" w:color="auto"/>
      </w:divBdr>
      <w:divsChild>
        <w:div w:id="1408114414">
          <w:marLeft w:val="590"/>
          <w:marRight w:val="0"/>
          <w:marTop w:val="106"/>
          <w:marBottom w:val="0"/>
          <w:divBdr>
            <w:top w:val="none" w:sz="0" w:space="0" w:color="auto"/>
            <w:left w:val="none" w:sz="0" w:space="0" w:color="auto"/>
            <w:bottom w:val="none" w:sz="0" w:space="0" w:color="auto"/>
            <w:right w:val="none" w:sz="0" w:space="0" w:color="auto"/>
          </w:divBdr>
        </w:div>
        <w:div w:id="1726952801">
          <w:marLeft w:val="590"/>
          <w:marRight w:val="0"/>
          <w:marTop w:val="106"/>
          <w:marBottom w:val="0"/>
          <w:divBdr>
            <w:top w:val="none" w:sz="0" w:space="0" w:color="auto"/>
            <w:left w:val="none" w:sz="0" w:space="0" w:color="auto"/>
            <w:bottom w:val="none" w:sz="0" w:space="0" w:color="auto"/>
            <w:right w:val="none" w:sz="0" w:space="0" w:color="auto"/>
          </w:divBdr>
        </w:div>
        <w:div w:id="142091781">
          <w:marLeft w:val="590"/>
          <w:marRight w:val="0"/>
          <w:marTop w:val="106"/>
          <w:marBottom w:val="0"/>
          <w:divBdr>
            <w:top w:val="none" w:sz="0" w:space="0" w:color="auto"/>
            <w:left w:val="none" w:sz="0" w:space="0" w:color="auto"/>
            <w:bottom w:val="none" w:sz="0" w:space="0" w:color="auto"/>
            <w:right w:val="none" w:sz="0" w:space="0" w:color="auto"/>
          </w:divBdr>
        </w:div>
        <w:div w:id="1241058580">
          <w:marLeft w:val="590"/>
          <w:marRight w:val="0"/>
          <w:marTop w:val="106"/>
          <w:marBottom w:val="0"/>
          <w:divBdr>
            <w:top w:val="none" w:sz="0" w:space="0" w:color="auto"/>
            <w:left w:val="none" w:sz="0" w:space="0" w:color="auto"/>
            <w:bottom w:val="none" w:sz="0" w:space="0" w:color="auto"/>
            <w:right w:val="none" w:sz="0" w:space="0" w:color="auto"/>
          </w:divBdr>
        </w:div>
        <w:div w:id="236288438">
          <w:marLeft w:val="590"/>
          <w:marRight w:val="0"/>
          <w:marTop w:val="106"/>
          <w:marBottom w:val="0"/>
          <w:divBdr>
            <w:top w:val="none" w:sz="0" w:space="0" w:color="auto"/>
            <w:left w:val="none" w:sz="0" w:space="0" w:color="auto"/>
            <w:bottom w:val="none" w:sz="0" w:space="0" w:color="auto"/>
            <w:right w:val="none" w:sz="0" w:space="0" w:color="auto"/>
          </w:divBdr>
        </w:div>
      </w:divsChild>
    </w:div>
    <w:div w:id="2138378619">
      <w:bodyDiv w:val="1"/>
      <w:marLeft w:val="0"/>
      <w:marRight w:val="0"/>
      <w:marTop w:val="0"/>
      <w:marBottom w:val="0"/>
      <w:divBdr>
        <w:top w:val="none" w:sz="0" w:space="0" w:color="auto"/>
        <w:left w:val="none" w:sz="0" w:space="0" w:color="auto"/>
        <w:bottom w:val="none" w:sz="0" w:space="0" w:color="auto"/>
        <w:right w:val="none" w:sz="0" w:space="0" w:color="auto"/>
      </w:divBdr>
      <w:divsChild>
        <w:div w:id="193786496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adfp.org/documents/2020ApplicationGuideline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adfp.org/documents/2020ApplicationGuideline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Document" ma:contentTypeID="0x010100C5494836E8AEFD4C8E68BF3674A42DDF" ma:contentTypeVersion="21" ma:contentTypeDescription="Create a new document." ma:contentTypeScope="" ma:versionID="6fdb2d664b7a3b2f521d5fc1894c1a9b">
  <xsd:schema xmlns:xsd="http://www.w3.org/2001/XMLSchema" xmlns:xs="http://www.w3.org/2001/XMLSchema" xmlns:p="http://schemas.microsoft.com/office/2006/metadata/properties" xmlns:ns1="http://schemas.microsoft.com/sharepoint/v3" xmlns:ns2="f6642ae0-1cfd-44e2-ac86-9baaceb4c3eb" xmlns:ns3="56ad977b-6cba-4d16-971c-01180e0d0515" targetNamespace="http://schemas.microsoft.com/office/2006/metadata/properties" ma:root="true" ma:fieldsID="67b4a7fa7a8ceae7463aae60cfefce35" ns1:_="" ns2:_="" ns3:_="">
    <xsd:import namespace="http://schemas.microsoft.com/sharepoint/v3"/>
    <xsd:import namespace="f6642ae0-1cfd-44e2-ac86-9baaceb4c3eb"/>
    <xsd:import namespace="56ad977b-6cba-4d16-971c-01180e0d0515"/>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e30546-cbc5-4fd6-bc6e-af5cec892ef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ad977b-6cba-4d16-971c-01180e0d051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ad977b-6cba-4d16-971c-01180e0d0515">
      <Terms xmlns="http://schemas.microsoft.com/office/infopath/2007/PartnerControls"/>
    </lcf76f155ced4ddcb4097134ff3c332f>
    <TaxCatchAll xmlns="f6642ae0-1cfd-44e2-ac86-9baaceb4c3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9F2F26-013C-4E05-BD70-7710D8273752}">
  <ds:schemaRefs>
    <ds:schemaRef ds:uri="http://schemas.openxmlformats.org/officeDocument/2006/bibliography"/>
  </ds:schemaRefs>
</ds:datastoreItem>
</file>

<file path=customXml/itemProps2.xml><?xml version="1.0" encoding="utf-8"?>
<ds:datastoreItem xmlns:ds="http://schemas.openxmlformats.org/officeDocument/2006/customXml" ds:itemID="{4C35F3FD-A1D7-4181-93C2-EB6F1256B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642ae0-1cfd-44e2-ac86-9baaceb4c3eb"/>
    <ds:schemaRef ds:uri="56ad977b-6cba-4d16-971c-01180e0d0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F39E1-AAA7-403C-8062-EF4DB8F40101}">
  <ds:schemaRefs>
    <ds:schemaRef ds:uri="http://schemas.microsoft.com/office/2006/metadata/properties"/>
    <ds:schemaRef ds:uri="http://schemas.microsoft.com/office/infopath/2007/PartnerControls"/>
    <ds:schemaRef ds:uri="http://schemas.microsoft.com/sharepoint/v3"/>
    <ds:schemaRef ds:uri="56ad977b-6cba-4d16-971c-01180e0d0515"/>
    <ds:schemaRef ds:uri="f6642ae0-1cfd-44e2-ac86-9baaceb4c3eb"/>
  </ds:schemaRefs>
</ds:datastoreItem>
</file>

<file path=customXml/itemProps4.xml><?xml version="1.0" encoding="utf-8"?>
<ds:datastoreItem xmlns:ds="http://schemas.openxmlformats.org/officeDocument/2006/customXml" ds:itemID="{E44298B5-9893-45CA-8D92-E58B7B5849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9</Pages>
  <Words>5608</Words>
  <Characters>31966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Policies, Rules, and Regulations</vt:lpstr>
    </vt:vector>
  </TitlesOfParts>
  <Company>NCDA&amp;CS</Company>
  <LinksUpToDate>false</LinksUpToDate>
  <CharactersWithSpaces>37500</CharactersWithSpaces>
  <SharedDoc>false</SharedDoc>
  <HLinks>
    <vt:vector size="12" baseType="variant">
      <vt:variant>
        <vt:i4>3342384</vt:i4>
      </vt:variant>
      <vt:variant>
        <vt:i4>3</vt:i4>
      </vt:variant>
      <vt:variant>
        <vt:i4>0</vt:i4>
      </vt:variant>
      <vt:variant>
        <vt:i4>5</vt:i4>
      </vt:variant>
      <vt:variant>
        <vt:lpwstr>http://www.ncadfp.org/documents/ApplicationGuidelines-ADFPTF-08.pdf</vt:lpwstr>
      </vt:variant>
      <vt:variant>
        <vt:lpwstr/>
      </vt:variant>
      <vt:variant>
        <vt:i4>3342384</vt:i4>
      </vt:variant>
      <vt:variant>
        <vt:i4>0</vt:i4>
      </vt:variant>
      <vt:variant>
        <vt:i4>0</vt:i4>
      </vt:variant>
      <vt:variant>
        <vt:i4>5</vt:i4>
      </vt:variant>
      <vt:variant>
        <vt:lpwstr>http://www.ncadfp.org/documents/ApplicationGuidelines-ADFPTF-08.pdf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Rules, and Regulations</dc:title>
  <dc:subject/>
  <dc:creator>ITSC</dc:creator>
  <cp:keywords/>
  <cp:lastModifiedBy>Corey Hoilman</cp:lastModifiedBy>
  <cp:revision>61</cp:revision>
  <cp:lastPrinted>2022-03-17T14:01:00Z</cp:lastPrinted>
  <dcterms:created xsi:type="dcterms:W3CDTF">2023-09-07T20:26:00Z</dcterms:created>
  <dcterms:modified xsi:type="dcterms:W3CDTF">2026-06-29T19:42:00Z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0x010100C5494836E8AEFD4C8E68BF3674A42DDF</vt:lpwstr>
  </property>
  <property fmtid="{D5CDD505-2E9C-101B-9397-08002B2CF9AE}" pid="3" name="MediaServiceImageTags">
    <vt:lpwstr/>
  </property>
  <property fmtid="{D5CDD505-2E9C-101B-9397-08002B2CF9AE}" pid="4" name="GrammarlyDocumentId">
    <vt:lpwstr>f0dac90dc77609d4776b9e393ce861dc9f81846c07c49dff8e9946b9e458dd60</vt:lpwstr>
  </property>
</Properties>
</file>